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997" w:type="dxa"/>
        <w:tblInd w:w="-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3686"/>
        <w:gridCol w:w="986"/>
        <w:gridCol w:w="2642"/>
        <w:gridCol w:w="2431"/>
        <w:gridCol w:w="144"/>
      </w:tblGrid>
      <w:tr w:rsidR="00245044" w:rsidTr="00245044">
        <w:trPr>
          <w:gridAfter w:val="1"/>
          <w:wAfter w:w="144" w:type="dxa"/>
        </w:trPr>
        <w:tc>
          <w:tcPr>
            <w:tcW w:w="3794" w:type="dxa"/>
            <w:gridSpan w:val="2"/>
            <w:vAlign w:val="center"/>
          </w:tcPr>
          <w:p w:rsidR="00245044" w:rsidRDefault="00245044" w:rsidP="00290AA0">
            <w:pPr>
              <w:jc w:val="center"/>
              <w:rPr>
                <w:sz w:val="24"/>
                <w:szCs w:val="24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5402B220" wp14:editId="06784D5F">
                  <wp:extent cx="2012685" cy="590550"/>
                  <wp:effectExtent l="0" t="0" r="6985" b="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739" cy="599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5044" w:rsidRPr="002A42FF" w:rsidRDefault="00245044" w:rsidP="00290AA0">
            <w:pPr>
              <w:jc w:val="center"/>
              <w:rPr>
                <w:sz w:val="18"/>
                <w:szCs w:val="18"/>
              </w:rPr>
            </w:pPr>
            <w:r w:rsidRPr="002A42FF">
              <w:rPr>
                <w:sz w:val="18"/>
                <w:szCs w:val="18"/>
              </w:rPr>
              <w:t>Саморегулируемая организация оценщиков</w:t>
            </w:r>
          </w:p>
        </w:tc>
        <w:tc>
          <w:tcPr>
            <w:tcW w:w="3628" w:type="dxa"/>
            <w:gridSpan w:val="2"/>
            <w:vAlign w:val="center"/>
          </w:tcPr>
          <w:p w:rsidR="00245044" w:rsidRDefault="00245044" w:rsidP="00290AA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3CDD86" wp14:editId="4A0B375E">
                  <wp:extent cx="2371725" cy="51840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4476" t="12728" r="57040" b="76204"/>
                          <a:stretch/>
                        </pic:blipFill>
                        <pic:spPr bwMode="auto">
                          <a:xfrm>
                            <a:off x="0" y="0"/>
                            <a:ext cx="2400836" cy="524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  <w:vAlign w:val="center"/>
          </w:tcPr>
          <w:p w:rsidR="00245044" w:rsidRDefault="00245044" w:rsidP="00290AA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57FB40" wp14:editId="694E8184">
                  <wp:extent cx="1371600" cy="7267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9722" t="6272" r="69375" b="83466"/>
                          <a:stretch/>
                        </pic:blipFill>
                        <pic:spPr bwMode="auto">
                          <a:xfrm>
                            <a:off x="0" y="0"/>
                            <a:ext cx="1382024" cy="732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D0B" w:rsidTr="00245044">
        <w:trPr>
          <w:gridBefore w:val="1"/>
          <w:wBefore w:w="108" w:type="dxa"/>
        </w:trPr>
        <w:tc>
          <w:tcPr>
            <w:tcW w:w="4672" w:type="dxa"/>
            <w:gridSpan w:val="2"/>
          </w:tcPr>
          <w:p w:rsidR="00441D0B" w:rsidRDefault="00441D0B">
            <w:pPr>
              <w:jc w:val="center"/>
            </w:pPr>
          </w:p>
        </w:tc>
        <w:tc>
          <w:tcPr>
            <w:tcW w:w="5217" w:type="dxa"/>
            <w:gridSpan w:val="3"/>
          </w:tcPr>
          <w:p w:rsidR="00441D0B" w:rsidRDefault="00441D0B">
            <w:pPr>
              <w:jc w:val="right"/>
            </w:pPr>
          </w:p>
        </w:tc>
      </w:tr>
    </w:tbl>
    <w:p w:rsidR="00441D0B" w:rsidRDefault="00441D0B">
      <w:pPr>
        <w:jc w:val="right"/>
        <w:rPr>
          <w:sz w:val="24"/>
          <w:szCs w:val="24"/>
          <w:highlight w:val="yellow"/>
        </w:rPr>
      </w:pPr>
    </w:p>
    <w:p w:rsidR="00441D0B" w:rsidRDefault="00091BCB">
      <w:pPr>
        <w:jc w:val="right"/>
        <w:rPr>
          <w:sz w:val="24"/>
          <w:szCs w:val="24"/>
        </w:rPr>
      </w:pPr>
      <w:r>
        <w:rPr>
          <w:sz w:val="24"/>
          <w:szCs w:val="24"/>
        </w:rPr>
        <w:t>версия от 03.07.2018</w:t>
      </w: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091BC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МЕТОДИЧЕСКИЕ РЕКОМЕНДАЦИИ</w:t>
      </w:r>
    </w:p>
    <w:p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оценке стоимости юридических услуг</w:t>
      </w:r>
    </w:p>
    <w:p w:rsidR="00441D0B" w:rsidRDefault="00091BCB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представительству интересов в судах</w:t>
      </w:r>
    </w:p>
    <w:p w:rsidR="00441D0B" w:rsidRDefault="00091BCB">
      <w:pPr>
        <w:spacing w:before="120" w:after="0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(проект для обсуждения)</w:t>
      </w:r>
    </w:p>
    <w:p w:rsidR="00441D0B" w:rsidRDefault="00441D0B">
      <w:pPr>
        <w:rPr>
          <w:sz w:val="24"/>
          <w:szCs w:val="24"/>
        </w:rPr>
      </w:pPr>
    </w:p>
    <w:p w:rsidR="00441D0B" w:rsidRDefault="00091BCB">
      <w:pPr>
        <w:spacing w:before="120" w:after="120"/>
        <w:jc w:val="center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07795" cy="1407795"/>
            <wp:effectExtent l="0" t="0" r="1905" b="1905"/>
            <wp:docPr id="3" name="Рисунок 3" descr="http://qrcoder.ru/code/?https%3A%2F%2Fsrosovet.ru%2Fpress%2Fnews%2F270618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rosovet.ru%2Fpress%2Fnews%2F270618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rPr>
          <w:sz w:val="24"/>
          <w:szCs w:val="24"/>
        </w:rPr>
      </w:pPr>
    </w:p>
    <w:p w:rsidR="00441D0B" w:rsidRDefault="00441D0B">
      <w:pPr>
        <w:jc w:val="center"/>
        <w:rPr>
          <w:sz w:val="24"/>
          <w:szCs w:val="24"/>
        </w:rPr>
      </w:pPr>
    </w:p>
    <w:p w:rsidR="00441D0B" w:rsidRDefault="00091BCB">
      <w:pPr>
        <w:jc w:val="center"/>
        <w:rPr>
          <w:sz w:val="24"/>
          <w:szCs w:val="24"/>
        </w:rPr>
      </w:pPr>
      <w:r>
        <w:rPr>
          <w:sz w:val="24"/>
          <w:szCs w:val="24"/>
        </w:rPr>
        <w:t>2018</w:t>
      </w:r>
      <w:r>
        <w:rPr>
          <w:sz w:val="24"/>
          <w:szCs w:val="24"/>
        </w:rPr>
        <w:br w:type="page"/>
      </w:r>
    </w:p>
    <w:bookmarkStart w:id="0" w:name="_Toc470602310" w:displacedByCustomXml="next"/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  <w:id w:val="3264074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41D0B" w:rsidRDefault="00091BCB">
          <w:pPr>
            <w:pStyle w:val="a6"/>
            <w:jc w:val="center"/>
            <w:rPr>
              <w:rFonts w:asciiTheme="minorHAnsi" w:hAnsiTheme="minorHAnsi"/>
              <w:b/>
              <w:color w:val="auto"/>
              <w:sz w:val="28"/>
              <w:szCs w:val="28"/>
            </w:rPr>
          </w:pPr>
          <w:r>
            <w:rPr>
              <w:rFonts w:asciiTheme="minorHAnsi" w:hAnsiTheme="minorHAnsi"/>
              <w:b/>
              <w:color w:val="auto"/>
              <w:sz w:val="28"/>
              <w:szCs w:val="28"/>
            </w:rPr>
            <w:t>ОГЛАВЛЕНИЕ</w:t>
          </w:r>
        </w:p>
        <w:p w:rsidR="00441D0B" w:rsidRPr="00F65C5D" w:rsidRDefault="00091BCB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  <w:sz w:val="24"/>
              <w:szCs w:val="24"/>
            </w:rPr>
            <w:instrText xml:space="preserve"> TOC \o "1-3" \h \z \u 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hyperlink w:anchor="_Toc517881476" w:history="1">
            <w:r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1. ввЕДЕНИЕ</w:t>
            </w:r>
            <w:r w:rsidRPr="00F65C5D">
              <w:rPr>
                <w:noProof/>
                <w:webHidden/>
                <w:sz w:val="24"/>
                <w:szCs w:val="24"/>
              </w:rPr>
              <w:tab/>
            </w:r>
            <w:r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Pr="00F65C5D">
              <w:rPr>
                <w:noProof/>
                <w:webHidden/>
                <w:sz w:val="24"/>
                <w:szCs w:val="24"/>
              </w:rPr>
              <w:instrText xml:space="preserve"> PAGEREF _Toc517881476 \h </w:instrText>
            </w:r>
            <w:r w:rsidRPr="00F65C5D">
              <w:rPr>
                <w:noProof/>
                <w:webHidden/>
                <w:sz w:val="24"/>
                <w:szCs w:val="24"/>
              </w:rPr>
            </w:r>
            <w:r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3</w:t>
            </w:r>
            <w:r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7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2. общие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8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3. ОПИСАНИЕ ОБЪЕКТА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79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4. анализ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_Toc517881479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0" w:history="1">
            <w:r w:rsidR="00091BCB" w:rsidRPr="00F65C5D">
              <w:rPr>
                <w:rStyle w:val="a7"/>
                <w:rFonts w:eastAsia="Times New Roman"/>
                <w:caps/>
                <w:noProof/>
                <w:sz w:val="24"/>
                <w:szCs w:val="24"/>
              </w:rPr>
              <w:t>5. выбор подходов и методов оценки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_Toc517881480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1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6. применение сравнительного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_Toc517881481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10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2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7. применение затратного подхода к оценке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_Toc517881482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3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8. ЗАКЛЮЧИТЕЛЬНЫЕ ПОЛОЖЕНИЯ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_Toc517881483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12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4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СПИСОК ИСТОЧНИКОВ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_Toc517881484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13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1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5" w:history="1">
            <w:r w:rsidR="00091BCB" w:rsidRPr="00F65C5D">
              <w:rPr>
                <w:rStyle w:val="a7"/>
                <w:rFonts w:eastAsia="Times New Roman" w:cstheme="majorBidi"/>
                <w:bCs/>
                <w:caps/>
                <w:noProof/>
                <w:sz w:val="24"/>
                <w:szCs w:val="24"/>
              </w:rPr>
              <w:t>ПРИЛОЖЕНИЯ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_Toc517881485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6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1. Практика взыскания судебных расходов на оплату услуг представителей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_Toc517881486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14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7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2. О возможных формах документов, в которых устанавливается стоимость УПИвС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_Toc517881487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17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8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3. Пример задания на оценку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_Toc517881488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18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Pr="00F65C5D" w:rsidRDefault="00916650">
          <w:pPr>
            <w:pStyle w:val="21"/>
            <w:tabs>
              <w:tab w:val="right" w:leader="dot" w:pos="9627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517881489" w:history="1">
            <w:r w:rsidR="00091BCB" w:rsidRPr="00F65C5D">
              <w:rPr>
                <w:rStyle w:val="a7"/>
                <w:noProof/>
                <w:sz w:val="24"/>
                <w:szCs w:val="24"/>
              </w:rPr>
              <w:t>Приложение 4. Возможные источники информации для анализа рынка</w:t>
            </w:r>
            <w:r w:rsidR="00091BCB" w:rsidRPr="00F65C5D">
              <w:rPr>
                <w:noProof/>
                <w:webHidden/>
                <w:sz w:val="24"/>
                <w:szCs w:val="24"/>
              </w:rPr>
              <w:tab/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begin"/>
            </w:r>
            <w:r w:rsidR="00091BCB" w:rsidRPr="00F65C5D">
              <w:rPr>
                <w:noProof/>
                <w:webHidden/>
                <w:sz w:val="24"/>
                <w:szCs w:val="24"/>
              </w:rPr>
              <w:instrText xml:space="preserve"> PAGEREF _Toc517881489 \h </w:instrText>
            </w:r>
            <w:r w:rsidR="00091BCB" w:rsidRPr="00F65C5D">
              <w:rPr>
                <w:noProof/>
                <w:webHidden/>
                <w:sz w:val="24"/>
                <w:szCs w:val="24"/>
              </w:rPr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26234" w:rsidRPr="00F65C5D">
              <w:rPr>
                <w:noProof/>
                <w:webHidden/>
                <w:sz w:val="24"/>
                <w:szCs w:val="24"/>
              </w:rPr>
              <w:t>19</w:t>
            </w:r>
            <w:r w:rsidR="00091BCB" w:rsidRPr="00F65C5D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41D0B" w:rsidRDefault="00091BCB">
          <w:pPr>
            <w:pStyle w:val="21"/>
            <w:tabs>
              <w:tab w:val="right" w:leader="dot" w:pos="9627"/>
            </w:tabs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441D0B" w:rsidRDefault="00441D0B">
      <w:pPr>
        <w:rPr>
          <w:rFonts w:eastAsia="Times New Roman"/>
          <w:caps/>
          <w:sz w:val="24"/>
          <w:szCs w:val="24"/>
        </w:rPr>
      </w:pPr>
    </w:p>
    <w:p w:rsidR="00441D0B" w:rsidRDefault="00441D0B">
      <w:pPr>
        <w:rPr>
          <w:rFonts w:eastAsia="Times New Roman"/>
          <w:caps/>
          <w:sz w:val="24"/>
          <w:szCs w:val="24"/>
        </w:rPr>
      </w:pPr>
    </w:p>
    <w:p w:rsidR="00441D0B" w:rsidRDefault="00441D0B">
      <w:pPr>
        <w:rPr>
          <w:rFonts w:eastAsia="Times New Roman"/>
          <w:caps/>
          <w:sz w:val="24"/>
          <w:szCs w:val="24"/>
        </w:rPr>
      </w:pPr>
    </w:p>
    <w:p w:rsidR="00441D0B" w:rsidRDefault="00441D0B">
      <w:pPr>
        <w:rPr>
          <w:rFonts w:eastAsia="Times New Roman"/>
          <w:cap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1"/>
        <w:gridCol w:w="2451"/>
        <w:gridCol w:w="4205"/>
      </w:tblGrid>
      <w:tr w:rsidR="00441D0B" w:rsidRPr="00916650">
        <w:tc>
          <w:tcPr>
            <w:tcW w:w="3794" w:type="dxa"/>
            <w:vAlign w:val="center"/>
          </w:tcPr>
          <w:p w:rsidR="00441D0B" w:rsidRDefault="00091BCB">
            <w:pPr>
              <w:spacing w:before="120"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Электронная версия документа:</w:t>
            </w:r>
          </w:p>
        </w:tc>
        <w:tc>
          <w:tcPr>
            <w:tcW w:w="2774" w:type="dxa"/>
            <w:vAlign w:val="center"/>
          </w:tcPr>
          <w:p w:rsidR="00441D0B" w:rsidRDefault="00091BCB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54735" cy="1054735"/>
                  <wp:effectExtent l="0" t="0" r="0" b="0"/>
                  <wp:docPr id="4" name="Рисунок 4" descr="http://qrcoder.ru/code/?https%3A%2F%2Fsrosovet.ru%2Fpress%2Fnews%2F270618%2F&amp;3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srosovet.ru%2Fpress%2Fnews%2F270618%2F&amp;3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105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  <w:vAlign w:val="center"/>
          </w:tcPr>
          <w:p w:rsidR="00441D0B" w:rsidRDefault="00091BCB">
            <w:pPr>
              <w:spacing w:before="120" w:after="120"/>
              <w:jc w:val="center"/>
              <w:rPr>
                <w:rFonts w:ascii="Calibri" w:eastAsia="Times New Roman" w:hAnsi="Calibri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https://srosovet.ru/press/news/270618/</w:t>
            </w:r>
          </w:p>
        </w:tc>
      </w:tr>
    </w:tbl>
    <w:p w:rsidR="00441D0B" w:rsidRDefault="00091BCB">
      <w:pPr>
        <w:rPr>
          <w:rFonts w:eastAsia="Times New Roman" w:cstheme="majorBidi"/>
          <w:b/>
          <w:bCs/>
          <w:caps/>
          <w:sz w:val="24"/>
          <w:szCs w:val="24"/>
          <w:lang w:val="en-US" w:eastAsia="ru-RU"/>
        </w:rPr>
      </w:pPr>
      <w:r>
        <w:rPr>
          <w:rFonts w:eastAsia="Times New Roman"/>
          <w:caps/>
          <w:sz w:val="24"/>
          <w:szCs w:val="24"/>
          <w:lang w:val="en-US"/>
        </w:rPr>
        <w:br w:type="page"/>
      </w:r>
    </w:p>
    <w:p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1" w:name="_Toc517881476"/>
      <w:r>
        <w:rPr>
          <w:rFonts w:asciiTheme="minorHAnsi" w:eastAsia="Times New Roman" w:hAnsiTheme="minorHAnsi"/>
          <w:caps/>
          <w:color w:val="auto"/>
        </w:rPr>
        <w:lastRenderedPageBreak/>
        <w:t>1. ввЕДЕНИЕ</w:t>
      </w:r>
      <w:bookmarkEnd w:id="1"/>
      <w:bookmarkEnd w:id="0"/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1.1.</w:t>
      </w:r>
      <w:r>
        <w:rPr>
          <w:rFonts w:ascii="Calibri" w:eastAsia="Times New Roman" w:hAnsi="Calibri" w:cs="Times New Roman"/>
          <w:sz w:val="24"/>
          <w:szCs w:val="24"/>
        </w:rPr>
        <w:t xml:space="preserve"> Настоящие Методические рекомендации (далее – МР) разработаны в развитие Федеральных стандартов оценки в целях повышения качества результатов оказания услуг по определению рыночной стоимости юридических услуг по представительству интересов в судах (далее –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1.2.</w:t>
      </w:r>
      <w:r>
        <w:rPr>
          <w:rFonts w:ascii="Calibri" w:eastAsia="Times New Roman" w:hAnsi="Calibri" w:cs="Times New Roman"/>
          <w:sz w:val="24"/>
          <w:szCs w:val="24"/>
        </w:rPr>
        <w:t xml:space="preserve"> Целевой аудиторией МР являются Оценщики и судебные эксперты. Отдельные положения МР могут быть использованы представителями органов судебной власти; юристами; лицами, в должностные обязанности которых входит формирование суждения о рыночной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контроль качества результатов оказания соответствующих услуг по оценке; представителями образовательных учреждений, осуществляющих подготовку профильных специалистов.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1.3.</w:t>
      </w:r>
      <w:r>
        <w:rPr>
          <w:rFonts w:ascii="Calibri" w:eastAsia="Times New Roman" w:hAnsi="Calibri" w:cs="Times New Roman"/>
          <w:sz w:val="24"/>
          <w:szCs w:val="24"/>
        </w:rPr>
        <w:t xml:space="preserve"> Актуальность разработки МР обусловлена совокупностью следующих факторов:</w:t>
      </w:r>
    </w:p>
    <w:p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большим количеством арбитражных и общегражданских судебных дел, в которых взыскиваются судебные расходы на оплату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увеличением количества дел, в которых фигурирует стоимость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(например, оспаривание договоров на оказание юридических услуг физическому или юридическому лицу, вступившему в процедуру банкротства, как неравноценное встречное предложение);</w:t>
      </w:r>
    </w:p>
    <w:p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отсутствием достаточного методического обеспечения оценки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1"/>
        </w:numPr>
        <w:spacing w:after="12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существенным различием между фактически понесенными расходами на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, заявленными к взысканию расходами, фактически взысканными суммами и среднерыночными расходами (дополнительно см.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Приложение 1</w:t>
      </w:r>
      <w:r>
        <w:rPr>
          <w:rFonts w:ascii="Calibri" w:eastAsia="Times New Roman" w:hAnsi="Calibri" w:cs="Times New Roman"/>
          <w:sz w:val="24"/>
          <w:szCs w:val="24"/>
        </w:rPr>
        <w:t>).</w:t>
      </w:r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1.4.</w:t>
      </w:r>
      <w:r>
        <w:rPr>
          <w:rFonts w:ascii="Calibri" w:eastAsia="Times New Roman" w:hAnsi="Calibri" w:cs="Times New Roman"/>
          <w:sz w:val="24"/>
          <w:szCs w:val="24"/>
        </w:rPr>
        <w:t xml:space="preserve"> МР носят рекомендательный характер. Оценщик или судебный эксперт самостоятельно принимает решение о применимости МР или их отдельных положений к оценке рыночной стоимости конкретной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1.5.</w:t>
      </w:r>
      <w:r>
        <w:rPr>
          <w:rFonts w:ascii="Calibri" w:eastAsia="Times New Roman" w:hAnsi="Calibri" w:cs="Times New Roman"/>
          <w:sz w:val="24"/>
          <w:szCs w:val="24"/>
        </w:rPr>
        <w:t xml:space="preserve"> МР имеют практическую направленность: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структура соответствует «хронологии» формирования отчета об оценке;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 приложениях приведены примеры реальных источников информации, а также информация для формирования описательной части отчета об оценке.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1.6.</w:t>
      </w:r>
      <w:r>
        <w:rPr>
          <w:rFonts w:ascii="Calibri" w:eastAsia="Times New Roman" w:hAnsi="Calibri" w:cs="Times New Roman"/>
          <w:sz w:val="24"/>
          <w:szCs w:val="24"/>
        </w:rPr>
        <w:t xml:space="preserve"> Информация о разработчиках.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Организации-разработчики: Ассоциация «Саморегулируемая организация оценщиков «Экспертный совет», </w:t>
      </w:r>
      <w:r w:rsidR="00245044" w:rsidRPr="002A42FF">
        <w:rPr>
          <w:rFonts w:ascii="Calibri" w:eastAsia="Times New Roman" w:hAnsi="Calibri" w:cs="Times New Roman"/>
          <w:sz w:val="24"/>
          <w:szCs w:val="24"/>
        </w:rPr>
        <w:t xml:space="preserve">Союз судебных экспертов «Экспертный совет», </w:t>
      </w:r>
      <w:r>
        <w:rPr>
          <w:rFonts w:ascii="Calibri" w:eastAsia="Times New Roman" w:hAnsi="Calibri" w:cs="Times New Roman"/>
          <w:sz w:val="24"/>
          <w:szCs w:val="24"/>
        </w:rPr>
        <w:t>Экспертная группа «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VETA</w:t>
      </w:r>
      <w:r>
        <w:rPr>
          <w:rFonts w:ascii="Calibri" w:eastAsia="Times New Roman" w:hAnsi="Calibri" w:cs="Times New Roman"/>
          <w:sz w:val="24"/>
          <w:szCs w:val="24"/>
        </w:rPr>
        <w:t>».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Авторы (в алфавитном порядке): Аболенцева (Дежинова) Олеся Юрьевна, </w:t>
      </w:r>
      <w:proofErr w:type="spellStart"/>
      <w:r>
        <w:rPr>
          <w:sz w:val="24"/>
          <w:szCs w:val="24"/>
        </w:rPr>
        <w:t>Жарский</w:t>
      </w:r>
      <w:proofErr w:type="spellEnd"/>
      <w:r>
        <w:rPr>
          <w:sz w:val="24"/>
          <w:szCs w:val="24"/>
        </w:rPr>
        <w:t xml:space="preserve"> Дмитрий Павлович, </w:t>
      </w:r>
      <w:proofErr w:type="spellStart"/>
      <w:r>
        <w:rPr>
          <w:sz w:val="24"/>
          <w:szCs w:val="24"/>
        </w:rPr>
        <w:t>Жарский</w:t>
      </w:r>
      <w:proofErr w:type="spellEnd"/>
      <w:r>
        <w:rPr>
          <w:sz w:val="24"/>
          <w:szCs w:val="24"/>
        </w:rPr>
        <w:t xml:space="preserve"> Илья Павлович, Ильин Максим Олегович, Лебединский Владимир Игоревич.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Рецензенты: </w:t>
      </w:r>
      <w:r>
        <w:rPr>
          <w:sz w:val="24"/>
          <w:szCs w:val="24"/>
          <w:highlight w:val="yellow"/>
        </w:rPr>
        <w:t>информация будет добавлено позднее</w:t>
      </w:r>
      <w:r>
        <w:rPr>
          <w:sz w:val="24"/>
          <w:szCs w:val="24"/>
        </w:rPr>
        <w:t>.</w:t>
      </w:r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1.7.</w:t>
      </w:r>
      <w:r>
        <w:rPr>
          <w:rFonts w:ascii="Calibri" w:eastAsia="Times New Roman" w:hAnsi="Calibri" w:cs="Times New Roman"/>
          <w:sz w:val="24"/>
          <w:szCs w:val="24"/>
        </w:rPr>
        <w:t xml:space="preserve"> Замечания и предложения по развитию МР принимаются на почту 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imo</w:t>
      </w:r>
      <w:r>
        <w:rPr>
          <w:rFonts w:ascii="Calibri" w:eastAsia="Times New Roman" w:hAnsi="Calibri" w:cs="Times New Roman"/>
          <w:sz w:val="24"/>
          <w:szCs w:val="24"/>
        </w:rPr>
        <w:t>@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srosovet</w:t>
      </w:r>
      <w:r>
        <w:rPr>
          <w:rFonts w:ascii="Calibri" w:eastAsia="Times New Roman" w:hAnsi="Calibri" w:cs="Times New Roman"/>
          <w:sz w:val="24"/>
          <w:szCs w:val="24"/>
        </w:rPr>
        <w:t>.</w:t>
      </w:r>
      <w:r>
        <w:rPr>
          <w:rFonts w:ascii="Calibri" w:eastAsia="Times New Roman" w:hAnsi="Calibri" w:cs="Times New Roman"/>
          <w:sz w:val="24"/>
          <w:szCs w:val="24"/>
          <w:lang w:val="en-US"/>
        </w:rPr>
        <w:t>ru</w:t>
      </w:r>
      <w:r>
        <w:rPr>
          <w:rFonts w:ascii="Calibri" w:eastAsia="Times New Roman" w:hAnsi="Calibri" w:cs="Times New Roman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i@veta.expert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441D0B" w:rsidRDefault="00091BC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2" w:name="_Toc470602311"/>
      <w:r>
        <w:rPr>
          <w:rFonts w:eastAsia="Times New Roman"/>
          <w:caps/>
        </w:rPr>
        <w:br w:type="page"/>
      </w:r>
    </w:p>
    <w:p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3" w:name="_Toc517881477"/>
      <w:r>
        <w:rPr>
          <w:rFonts w:asciiTheme="minorHAnsi" w:eastAsia="Times New Roman" w:hAnsiTheme="minorHAnsi"/>
          <w:caps/>
          <w:color w:val="auto"/>
        </w:rPr>
        <w:lastRenderedPageBreak/>
        <w:t>2. общие положения</w:t>
      </w:r>
      <w:bookmarkEnd w:id="3"/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2.1.</w:t>
      </w:r>
      <w:r>
        <w:rPr>
          <w:rFonts w:ascii="Calibri" w:eastAsia="Times New Roman" w:hAnsi="Calibri" w:cs="Times New Roman"/>
          <w:sz w:val="24"/>
          <w:szCs w:val="24"/>
        </w:rPr>
        <w:t xml:space="preserve"> Возможность оценки рыночной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следует из положений ст. 5 Закона об оценке [1]: «К объектам оценки относятся: … работы, услуги, информация».</w:t>
      </w:r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2.2.</w:t>
      </w:r>
      <w:r>
        <w:rPr>
          <w:rFonts w:ascii="Calibri" w:eastAsia="Times New Roman" w:hAnsi="Calibri" w:cs="Times New Roman"/>
          <w:sz w:val="24"/>
          <w:szCs w:val="24"/>
        </w:rPr>
        <w:t xml:space="preserve"> Оценку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целесообразно проводить на дату заключения договора на оказание соответствующих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если в судебном решении не указано иное.</w:t>
      </w:r>
    </w:p>
    <w:p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2.3.</w:t>
      </w:r>
      <w:r>
        <w:rPr>
          <w:rFonts w:cs="Times New Roman"/>
          <w:sz w:val="24"/>
          <w:szCs w:val="24"/>
        </w:rPr>
        <w:t xml:space="preserve"> Формы документов, в котором определяется стоимость </w:t>
      </w:r>
      <w:proofErr w:type="spellStart"/>
      <w:r>
        <w:rPr>
          <w:rFonts w:cs="Times New Roman"/>
          <w:sz w:val="24"/>
          <w:szCs w:val="24"/>
        </w:rPr>
        <w:t>УПИвС</w:t>
      </w:r>
      <w:proofErr w:type="spellEnd"/>
      <w:r>
        <w:rPr>
          <w:rFonts w:cs="Times New Roman"/>
          <w:sz w:val="24"/>
          <w:szCs w:val="24"/>
        </w:rPr>
        <w:t xml:space="preserve">: </w:t>
      </w:r>
      <w:r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[1] либо </w:t>
      </w:r>
      <w:r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 [2].</w:t>
      </w:r>
    </w:p>
    <w:p w:rsidR="00441D0B" w:rsidRDefault="00091BCB">
      <w:pPr>
        <w:spacing w:after="120" w:line="276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Документы иной формы законодательством не предусмотрены (обоснование см. </w:t>
      </w:r>
      <w:r>
        <w:rPr>
          <w:rFonts w:cs="Times New Roman"/>
          <w:i/>
          <w:sz w:val="24"/>
          <w:szCs w:val="24"/>
        </w:rPr>
        <w:t>Приложение 2</w:t>
      </w:r>
      <w:r>
        <w:rPr>
          <w:rFonts w:cs="Times New Roman"/>
          <w:sz w:val="24"/>
          <w:szCs w:val="24"/>
        </w:rPr>
        <w:t>).</w:t>
      </w:r>
    </w:p>
    <w:p w:rsidR="00441D0B" w:rsidRDefault="00441D0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</w:p>
    <w:p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4" w:name="_Toc517881478"/>
      <w:r>
        <w:rPr>
          <w:rFonts w:asciiTheme="minorHAnsi" w:eastAsia="Times New Roman" w:hAnsiTheme="minorHAnsi"/>
          <w:caps/>
          <w:color w:val="auto"/>
        </w:rPr>
        <w:t>3. ОПИСАНИЕ ОБЪЕКТА ОЦЕНКИ</w:t>
      </w:r>
      <w:bookmarkEnd w:id="2"/>
      <w:bookmarkEnd w:id="4"/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3.1.</w:t>
      </w:r>
      <w:r>
        <w:rPr>
          <w:rFonts w:ascii="Calibri" w:eastAsia="Times New Roman" w:hAnsi="Calibri" w:cs="Times New Roman"/>
          <w:sz w:val="24"/>
          <w:szCs w:val="24"/>
        </w:rPr>
        <w:t xml:space="preserve"> Для идентификации</w:t>
      </w:r>
      <w:r>
        <w:rPr>
          <w:rStyle w:val="af0"/>
          <w:rFonts w:ascii="Calibri" w:eastAsia="Times New Roman" w:hAnsi="Calibri" w:cs="Times New Roman"/>
          <w:sz w:val="24"/>
          <w:szCs w:val="24"/>
        </w:rPr>
        <w:footnoteReference w:id="1"/>
      </w:r>
      <w:r>
        <w:rPr>
          <w:rFonts w:ascii="Calibri" w:eastAsia="Times New Roman" w:hAnsi="Calibri" w:cs="Times New Roman"/>
          <w:sz w:val="24"/>
          <w:szCs w:val="24"/>
        </w:rPr>
        <w:t xml:space="preserve"> оцениваемой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отчете об оценке указывается: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2638"/>
        <w:gridCol w:w="6443"/>
      </w:tblGrid>
      <w:tr w:rsidR="00441D0B">
        <w:trPr>
          <w:cantSplit/>
          <w:tblHeader/>
          <w:jc w:val="center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№ п</w:t>
            </w:r>
            <w:r>
              <w:rPr>
                <w:rFonts w:ascii="Calibri" w:eastAsia="Times New Roman" w:hAnsi="Calibri" w:cs="Times New Roman"/>
                <w:b/>
                <w:lang w:val="en-US"/>
              </w:rPr>
              <w:t>/</w:t>
            </w:r>
            <w:r>
              <w:rPr>
                <w:rFonts w:ascii="Calibri" w:eastAsia="Times New Roman" w:hAnsi="Calibri" w:cs="Times New Roman"/>
                <w:b/>
              </w:rPr>
              <w:t>п</w:t>
            </w:r>
          </w:p>
        </w:tc>
        <w:tc>
          <w:tcPr>
            <w:tcW w:w="2681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Параметр</w:t>
            </w:r>
          </w:p>
        </w:tc>
        <w:tc>
          <w:tcPr>
            <w:tcW w:w="6626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</w:rPr>
              <w:t>Комментарий</w:t>
            </w:r>
          </w:p>
        </w:tc>
      </w:tr>
      <w:tr w:rsidR="00441D0B">
        <w:trPr>
          <w:cantSplit/>
          <w:jc w:val="center"/>
        </w:trPr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681" w:type="dxa"/>
          </w:tcPr>
          <w:p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Предмет услуг</w:t>
            </w:r>
          </w:p>
        </w:tc>
        <w:tc>
          <w:tcPr>
            <w:tcW w:w="6626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Например, представление интересов истца (ответчика) в Арбитражном суде города Москвы по делу №ХХХ.</w:t>
            </w:r>
          </w:p>
        </w:tc>
      </w:tr>
      <w:tr w:rsidR="00441D0B">
        <w:trPr>
          <w:cantSplit/>
          <w:jc w:val="center"/>
        </w:trPr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681" w:type="dxa"/>
          </w:tcPr>
          <w:p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Краткое описание объема (состава) услуг</w:t>
            </w:r>
          </w:p>
        </w:tc>
        <w:tc>
          <w:tcPr>
            <w:tcW w:w="6626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См. стр. 1 табл. п. 3.2.</w:t>
            </w:r>
          </w:p>
        </w:tc>
      </w:tr>
      <w:tr w:rsidR="00441D0B">
        <w:trPr>
          <w:cantSplit/>
          <w:jc w:val="center"/>
        </w:trPr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681" w:type="dxa"/>
          </w:tcPr>
          <w:p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Основание для оказания услуг</w:t>
            </w:r>
          </w:p>
        </w:tc>
        <w:tc>
          <w:tcPr>
            <w:tcW w:w="6626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Обычно, договор с указанием реквизитов.</w:t>
            </w:r>
          </w:p>
        </w:tc>
      </w:tr>
      <w:tr w:rsidR="00441D0B">
        <w:trPr>
          <w:cantSplit/>
          <w:jc w:val="center"/>
        </w:trPr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681" w:type="dxa"/>
          </w:tcPr>
          <w:p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Идентификация исполнителя</w:t>
            </w:r>
          </w:p>
        </w:tc>
        <w:tc>
          <w:tcPr>
            <w:tcW w:w="6626" w:type="dxa"/>
          </w:tcPr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с указанием организационно-правовой формы (например, частный юрист, адвокат, коллегия адвокатов / адвокатское образование, юридическая фирма);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уникальный идентификатор – например, ФИО, реквизиты удостоверения адвоката, ОГРН юридического лица.</w:t>
            </w:r>
          </w:p>
        </w:tc>
      </w:tr>
      <w:tr w:rsidR="00441D0B">
        <w:trPr>
          <w:cantSplit/>
          <w:jc w:val="center"/>
        </w:trPr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2681" w:type="dxa"/>
          </w:tcPr>
          <w:p w:rsidR="00441D0B" w:rsidRDefault="00091BCB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Сроки оказания услуг</w:t>
            </w:r>
          </w:p>
        </w:tc>
        <w:tc>
          <w:tcPr>
            <w:tcW w:w="6626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 соответствии с условиями договора.</w:t>
            </w:r>
          </w:p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Например:</w:t>
            </w:r>
          </w:p>
          <w:p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 по 11.12.2017;</w:t>
            </w:r>
          </w:p>
          <w:p w:rsidR="00441D0B" w:rsidRDefault="00091BCB">
            <w:pPr>
              <w:pStyle w:val="a8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 01.05.2017.</w:t>
            </w:r>
          </w:p>
        </w:tc>
      </w:tr>
    </w:tbl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3.2.</w:t>
      </w:r>
      <w:r>
        <w:rPr>
          <w:rFonts w:ascii="Calibri" w:eastAsia="Times New Roman" w:hAnsi="Calibri" w:cs="Times New Roman"/>
          <w:sz w:val="24"/>
          <w:szCs w:val="24"/>
        </w:rPr>
        <w:t xml:space="preserve"> Типичные существенные ценообразующие параметры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(источник информации – договор на оказание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):</w:t>
      </w:r>
    </w:p>
    <w:tbl>
      <w:tblPr>
        <w:tblStyle w:val="a5"/>
        <w:tblW w:w="9853" w:type="dxa"/>
        <w:tblLayout w:type="fixed"/>
        <w:tblLook w:val="04A0" w:firstRow="1" w:lastRow="0" w:firstColumn="1" w:lastColumn="0" w:noHBand="0" w:noVBand="1"/>
      </w:tblPr>
      <w:tblGrid>
        <w:gridCol w:w="546"/>
        <w:gridCol w:w="1972"/>
        <w:gridCol w:w="7335"/>
      </w:tblGrid>
      <w:tr w:rsidR="00441D0B">
        <w:trPr>
          <w:tblHeader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№ п/п</w:t>
            </w:r>
          </w:p>
        </w:tc>
        <w:tc>
          <w:tcPr>
            <w:tcW w:w="1972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Параметр</w:t>
            </w:r>
          </w:p>
        </w:tc>
        <w:tc>
          <w:tcPr>
            <w:tcW w:w="7335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Комментарий</w:t>
            </w:r>
          </w:p>
        </w:tc>
      </w:tr>
      <w:tr w:rsidR="00441D0B"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</w:t>
            </w:r>
          </w:p>
        </w:tc>
        <w:tc>
          <w:tcPr>
            <w:tcW w:w="1972" w:type="dxa"/>
          </w:tcPr>
          <w:p w:rsidR="00441D0B" w:rsidRDefault="00091BCB">
            <w:pPr>
              <w:jc w:val="both"/>
              <w:rPr>
                <w:rFonts w:eastAsia="Times New Roman" w:cs="Times New Roman"/>
              </w:rPr>
            </w:pPr>
            <w:r>
              <w:rPr>
                <w:rFonts w:cs="Arial"/>
              </w:rPr>
              <w:t>Объём (состав) услуг</w:t>
            </w:r>
          </w:p>
        </w:tc>
        <w:tc>
          <w:tcPr>
            <w:tcW w:w="7335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Объем услуг может описываться: затраченными часами, количеством заседаний, инстанциями, количеством и составом подготовленных документов.</w:t>
            </w:r>
          </w:p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Примеры: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целиком;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представление интересов в судебном заседании 01.05.2017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подготовка и подача в Арбитражный суд г. Москвы (суд первой инстанции) отзыва ответчика по делу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</w:tr>
      <w:tr w:rsidR="00441D0B"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>2</w:t>
            </w:r>
          </w:p>
        </w:tc>
        <w:tc>
          <w:tcPr>
            <w:tcW w:w="1972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Сложность услуг</w:t>
            </w:r>
          </w:p>
        </w:tc>
        <w:tc>
          <w:tcPr>
            <w:tcW w:w="7335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параметров, характеризующих сложность услуг: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категория спора (см. п. 4.4);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стадия подключения исполнителя к оказанию услуг (поздняя стадия / инстанция на стороне проигравшей стороны усложняет задачу);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 исковых требований;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встречного иска;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наличие/отсутствие судебных экспертиз;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участников процесса (2-3; наличие третьих лиц; множественные участники процесса со всех сторон);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отсутствие единообразной практики по данной категории дел;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количества процессуальных действий;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количество первичных документов, подлежащих обработке (например, количество томов дела);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прочее (пробелы / противоречия в нормативно-правовых актах необходимость обращения к отдельным областям специальных знаний и т.д.).</w:t>
            </w:r>
          </w:p>
        </w:tc>
      </w:tr>
      <w:tr w:rsidR="00441D0B"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</w:t>
            </w:r>
          </w:p>
        </w:tc>
        <w:tc>
          <w:tcPr>
            <w:tcW w:w="1972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</w:t>
            </w:r>
          </w:p>
        </w:tc>
        <w:tc>
          <w:tcPr>
            <w:tcW w:w="7335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Примеры характеристик:</w:t>
            </w:r>
          </w:p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 Для юридического лица, адвокатского образования, коллегии адвокатов: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присутствие в рейтингах юридических фирм (например, Право.ру-300, </w:t>
            </w:r>
            <w:proofErr w:type="spellStart"/>
            <w:r>
              <w:rPr>
                <w:rFonts w:ascii="Calibri" w:eastAsia="Times New Roman" w:hAnsi="Calibri" w:cs="Times New Roman"/>
              </w:rPr>
              <w:t>Chambers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</w:rPr>
              <w:t>Legal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500);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общий штат компании и количество юристов/адвокатов, занимающихся данной категорией споров;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наличие в штате юристов/адвокатов, обладающих научными степенями в юриспруденции и имеющие западное юридическое образование;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количество представителей, задействованных в оказании оцениваемых </w:t>
            </w:r>
            <w:proofErr w:type="spellStart"/>
            <w:r>
              <w:rPr>
                <w:rFonts w:ascii="Calibri" w:eastAsia="Times New Roman" w:hAnsi="Calibri" w:cs="Times New Roman"/>
              </w:rPr>
              <w:t>УПИвС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2. Для представителей (юристы, адвокаты):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награды и присутствие в индивидуальных рейтингах (например, </w:t>
            </w:r>
            <w:proofErr w:type="spellStart"/>
            <w:r>
              <w:rPr>
                <w:rFonts w:ascii="Calibri" w:eastAsia="Times New Roman" w:hAnsi="Calibri" w:cs="Times New Roman"/>
              </w:rPr>
              <w:t>Best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</w:rPr>
              <w:t>Lawyers</w:t>
            </w:r>
            <w:proofErr w:type="spellEnd"/>
            <w:r>
              <w:rPr>
                <w:rFonts w:ascii="Calibri" w:eastAsia="Times New Roman" w:hAnsi="Calibri" w:cs="Times New Roman"/>
              </w:rPr>
              <w:t>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опыт представителей исполнителя по оказанию услуг в данной категории споров;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опыт ведения значимых для рынка/судебной практики судебных процессов, в т.ч. со значительными для соответствующего сегмента рынка </w:t>
            </w:r>
            <w:proofErr w:type="spellStart"/>
            <w:r>
              <w:rPr>
                <w:rFonts w:ascii="Calibri" w:eastAsia="Times New Roman" w:hAnsi="Calibri" w:cs="Times New Roman"/>
              </w:rPr>
              <w:t>УПИвС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исковыми требованиями;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cs="Arial"/>
              </w:rPr>
            </w:pPr>
            <w:r>
              <w:rPr>
                <w:rFonts w:ascii="Calibri" w:eastAsia="Times New Roman" w:hAnsi="Calibri" w:cs="Times New Roman"/>
              </w:rPr>
              <w:t>опыт оказания услуг по судебному представительству крупнейшим российским и иностранным компаниям, в т.ч. государственным корпорациям, право на предоставление которых было получено вследствие открытых конкурсных процедур.</w:t>
            </w:r>
          </w:p>
        </w:tc>
      </w:tr>
      <w:tr w:rsidR="00441D0B">
        <w:tc>
          <w:tcPr>
            <w:tcW w:w="546" w:type="dxa"/>
            <w:vAlign w:val="center"/>
          </w:tcPr>
          <w:p w:rsidR="00441D0B" w:rsidRDefault="00091BCB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</w:t>
            </w:r>
          </w:p>
        </w:tc>
        <w:tc>
          <w:tcPr>
            <w:tcW w:w="1972" w:type="dxa"/>
          </w:tcPr>
          <w:p w:rsidR="00441D0B" w:rsidRDefault="00091BCB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Модель определения вознаграждения</w:t>
            </w:r>
          </w:p>
        </w:tc>
        <w:tc>
          <w:tcPr>
            <w:tcW w:w="7335" w:type="dxa"/>
          </w:tcPr>
          <w:p w:rsidR="00441D0B" w:rsidRDefault="00091BCB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Распространенные на рынке модели определения вознаграждения: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фиксированная оплата за судебный процесс / инстанцию целиком;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почасовая ставка (варианты: без лимита часов, с </w:t>
            </w:r>
            <w:r w:rsidR="00245044">
              <w:rPr>
                <w:rFonts w:ascii="Calibri" w:eastAsia="Times New Roman" w:hAnsi="Calibri" w:cs="Times New Roman"/>
              </w:rPr>
              <w:t>определением лимита часов</w:t>
            </w:r>
            <w:r>
              <w:rPr>
                <w:rFonts w:ascii="Calibri" w:eastAsia="Times New Roman" w:hAnsi="Calibri" w:cs="Times New Roman"/>
              </w:rPr>
              <w:t xml:space="preserve"> за определенные этапы (инстанция) или периоды (неделя, месяц, год.)</w:t>
            </w:r>
            <w:r w:rsidR="00245044">
              <w:rPr>
                <w:rFonts w:ascii="Calibri" w:eastAsia="Times New Roman" w:hAnsi="Calibri" w:cs="Times New Roman"/>
              </w:rPr>
              <w:t>)</w:t>
            </w:r>
            <w:r>
              <w:rPr>
                <w:rFonts w:ascii="Calibri" w:eastAsia="Times New Roman" w:hAnsi="Calibri" w:cs="Times New Roman"/>
              </w:rPr>
              <w:t>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гонорар успеха (варианты: фиксированная сумма, в % от экономического эффекта по делу);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оплата за конкретные действия по прейскуранту цен (ходатайство, жалоба, заявление, посещение судебного заседания / </w:t>
            </w:r>
            <w:proofErr w:type="spellStart"/>
            <w:r>
              <w:rPr>
                <w:rFonts w:ascii="Calibri" w:eastAsia="Times New Roman" w:hAnsi="Calibri" w:cs="Times New Roman"/>
              </w:rPr>
              <w:t>судодень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и т.д.);</w:t>
            </w:r>
          </w:p>
          <w:p w:rsidR="00441D0B" w:rsidRDefault="00091BCB">
            <w:pPr>
              <w:pStyle w:val="a8"/>
              <w:numPr>
                <w:ilvl w:val="0"/>
                <w:numId w:val="20"/>
              </w:numPr>
              <w:jc w:val="both"/>
              <w:rPr>
                <w:rFonts w:eastAsia="Times New Roman" w:cs="Times New Roman"/>
              </w:rPr>
            </w:pPr>
            <w:r>
              <w:rPr>
                <w:rFonts w:ascii="Calibri" w:eastAsia="Times New Roman" w:hAnsi="Calibri" w:cs="Times New Roman"/>
              </w:rPr>
              <w:t>комбинированный вариант из предыдущих пунктов.</w:t>
            </w:r>
          </w:p>
        </w:tc>
      </w:tr>
    </w:tbl>
    <w:p w:rsidR="00441D0B" w:rsidRDefault="00091BCB">
      <w:pPr>
        <w:spacing w:before="120" w:after="0" w:line="276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lastRenderedPageBreak/>
        <w:t>3.3.</w:t>
      </w:r>
      <w:r>
        <w:rPr>
          <w:rFonts w:ascii="Calibri" w:eastAsia="Times New Roman" w:hAnsi="Calibri" w:cs="Times New Roman"/>
          <w:sz w:val="24"/>
          <w:szCs w:val="24"/>
        </w:rPr>
        <w:t xml:space="preserve"> В отчете рекомендуется обосновать относимость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к соответствующему судебному делу. Под относимостью понимается необходимость и достаточность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для целей судебного спора, в рамках которого они оказывались.</w:t>
      </w:r>
    </w:p>
    <w:p w:rsidR="00441D0B" w:rsidRDefault="00091BCB">
      <w:pPr>
        <w:spacing w:before="120" w:after="12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3.4.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Применительно к оценке конкретной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существенными могут быть дополнительные ценообразующие параметры, не указанные в п. </w:t>
      </w:r>
      <w:r w:rsidR="00916650">
        <w:rPr>
          <w:rFonts w:ascii="Calibri" w:eastAsia="Times New Roman" w:hAnsi="Calibri" w:cs="Times New Roman"/>
          <w:sz w:val="24"/>
          <w:szCs w:val="24"/>
        </w:rPr>
        <w:t>3</w:t>
      </w:r>
      <w:r>
        <w:rPr>
          <w:rFonts w:ascii="Calibri" w:eastAsia="Times New Roman" w:hAnsi="Calibri" w:cs="Times New Roman"/>
          <w:sz w:val="24"/>
          <w:szCs w:val="24"/>
        </w:rPr>
        <w:t>.</w:t>
      </w:r>
      <w:r w:rsidR="00916650">
        <w:rPr>
          <w:rFonts w:ascii="Calibri" w:eastAsia="Times New Roman" w:hAnsi="Calibri" w:cs="Times New Roman"/>
          <w:sz w:val="24"/>
          <w:szCs w:val="24"/>
        </w:rPr>
        <w:t>2</w:t>
      </w:r>
      <w:bookmarkStart w:id="5" w:name="_GoBack"/>
      <w:bookmarkEnd w:id="5"/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3.5.</w:t>
      </w:r>
      <w:r>
        <w:rPr>
          <w:rFonts w:ascii="Calibri" w:eastAsia="Times New Roman" w:hAnsi="Calibri" w:cs="Times New Roman"/>
          <w:sz w:val="24"/>
          <w:szCs w:val="24"/>
        </w:rPr>
        <w:t xml:space="preserve"> В ряде случаев анализ объема оказанных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требует глубоких знаний норм различных отраслей права, лежащих вне компетенций Оценщика. В подобных случаях рекомендуется привлечение профильных специалистов либо ограничение объемов исследования в задании на оценку [3].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3.6.</w:t>
      </w:r>
      <w:r>
        <w:rPr>
          <w:rFonts w:ascii="Calibri" w:eastAsia="Times New Roman" w:hAnsi="Calibri" w:cs="Times New Roman"/>
          <w:sz w:val="24"/>
          <w:szCs w:val="24"/>
        </w:rPr>
        <w:t xml:space="preserve"> Для сбора информации по значениям ценообразующих параметров объекта оценки и рыночной конъюнктуре используются следующие основные источники информации: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заказчик оценки;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субъект, интересы которого представлялись в рамках оказания оцениваемых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материалы судебного дела;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исполнитель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аналитические и статистические материалы;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профильные эксперты;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методические и учебные материалы.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3.7.</w:t>
      </w:r>
      <w:r>
        <w:rPr>
          <w:rFonts w:ascii="Calibri" w:eastAsia="Times New Roman" w:hAnsi="Calibri" w:cs="Times New Roman"/>
          <w:sz w:val="24"/>
          <w:szCs w:val="24"/>
        </w:rPr>
        <w:t xml:space="preserve"> При отсутствии информации, которая может являться существенной при оценке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в отчете об оценке рекомендуется представить: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описание выполненных Оценщиком действий по получению этой информации с указанием причин невозможности ее получения и связанных с этим допущений;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допущения в отношении значений ценообразующих параметров, информация по которым отсутствует;</w:t>
      </w:r>
    </w:p>
    <w:p w:rsidR="00441D0B" w:rsidRDefault="00091BCB">
      <w:pPr>
        <w:pStyle w:val="a8"/>
        <w:numPr>
          <w:ilvl w:val="0"/>
          <w:numId w:val="19"/>
        </w:numPr>
        <w:spacing w:before="120"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анализ возможного влияния отсутствующей информации на стоимость объекта оценки (изменения стоимости в случае, если информация будет получена и приведет к изменению значений соответствующих ценообразующих параметров, принятых в расчетах на основании допущения).</w:t>
      </w:r>
    </w:p>
    <w:p w:rsidR="00441D0B" w:rsidRDefault="00091BCB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3.8. </w:t>
      </w:r>
      <w:r>
        <w:rPr>
          <w:sz w:val="24"/>
          <w:szCs w:val="24"/>
        </w:rPr>
        <w:t>При определении количественных и качественных характеристик объекта оценки рекомендуется: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проверить информацию о суммарной трудоемкости объекта оценки – на соответствие рыночным данным (при наличии соответствующих рыночных данных);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проверить обоснованность привлечения исполнителя (физического лица) соответствующей квалификации для выполнения конкретной работы в составе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учитывать поведение типичных исполнителей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на рынке, которые для установления цены на свои услуги ориентируются на предполагаемый на дату заключения договора объем и сложность услуг (исключение – почасовая модель определения вознаграждения).</w:t>
      </w:r>
    </w:p>
    <w:p w:rsidR="00441D0B" w:rsidRDefault="00091BCB">
      <w:pPr>
        <w:spacing w:before="120" w:after="12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3.9.</w:t>
      </w:r>
      <w:r>
        <w:rPr>
          <w:rFonts w:ascii="Calibri" w:eastAsia="Times New Roman" w:hAnsi="Calibri" w:cs="Times New Roman"/>
          <w:sz w:val="24"/>
          <w:szCs w:val="24"/>
        </w:rPr>
        <w:t xml:space="preserve"> Пример заполнения задания на оценку приведен в </w:t>
      </w:r>
      <w:r>
        <w:rPr>
          <w:rFonts w:ascii="Calibri" w:eastAsia="Times New Roman" w:hAnsi="Calibri" w:cs="Times New Roman"/>
          <w:i/>
          <w:sz w:val="24"/>
          <w:szCs w:val="24"/>
        </w:rPr>
        <w:t>приложении 3</w:t>
      </w:r>
      <w:r>
        <w:rPr>
          <w:rFonts w:ascii="Calibri" w:eastAsia="Times New Roman" w:hAnsi="Calibri" w:cs="Times New Roman"/>
          <w:sz w:val="24"/>
          <w:szCs w:val="24"/>
        </w:rPr>
        <w:t>.</w:t>
      </w: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6" w:name="_Toc470602312"/>
      <w:bookmarkStart w:id="7" w:name="_Toc517881479"/>
      <w:r>
        <w:rPr>
          <w:rFonts w:eastAsia="Times New Roman" w:cstheme="majorBidi"/>
          <w:b/>
          <w:bCs/>
          <w:caps/>
          <w:sz w:val="28"/>
          <w:szCs w:val="28"/>
        </w:rPr>
        <w:t>4. анализ рынка</w:t>
      </w:r>
      <w:bookmarkEnd w:id="6"/>
      <w:bookmarkEnd w:id="7"/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4.1.</w:t>
      </w:r>
      <w:r>
        <w:rPr>
          <w:rFonts w:ascii="Calibri" w:eastAsia="Times New Roman" w:hAnsi="Calibri" w:cs="Times New Roman"/>
          <w:sz w:val="24"/>
          <w:szCs w:val="24"/>
        </w:rPr>
        <w:t xml:space="preserve"> В разделе анализа рынка отчета об оценке следует представить следующую информацию: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характеристику сегмента рынка юридических услуг, к которому относится объект оценки (п. 4.2);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значения (диапазоны) значений существенных ценообразующих параметров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-аналогов (п. 3.2);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значения (диапазоны) значений дополнительных параметров, принимаемых во внимание арбитражными судами Российской Федерации (п. 4.3).</w:t>
      </w:r>
    </w:p>
    <w:p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4.2. </w:t>
      </w:r>
      <w:r>
        <w:rPr>
          <w:rFonts w:cs="Arial"/>
          <w:sz w:val="24"/>
          <w:szCs w:val="24"/>
        </w:rPr>
        <w:t xml:space="preserve">Сегмент рынка, к которому относятся конкретные </w:t>
      </w:r>
      <w:proofErr w:type="spellStart"/>
      <w:r>
        <w:rPr>
          <w:rFonts w:cs="Arial"/>
          <w:sz w:val="24"/>
          <w:szCs w:val="24"/>
        </w:rPr>
        <w:t>УПИвС</w:t>
      </w:r>
      <w:proofErr w:type="spellEnd"/>
      <w:r>
        <w:rPr>
          <w:rFonts w:cs="Arial"/>
          <w:sz w:val="24"/>
          <w:szCs w:val="24"/>
        </w:rPr>
        <w:t>, главным образом, определяется, совокупностью следующих факторов: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категория спора (п. 4.4);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сложность (трудоемкость) спора (стр. 2 табл. из п. 3.2);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сложившиеся правила делового оборота в части определения уровня квалификации исполнителя для оказания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аналогичных ситуациях (п. 4.5);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региональная специфика рынка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конкретном регионе (п. 4.6).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4.3.</w:t>
      </w:r>
      <w:r>
        <w:rPr>
          <w:rFonts w:ascii="Calibri" w:eastAsia="Times New Roman" w:hAnsi="Calibri" w:cs="Times New Roman"/>
          <w:sz w:val="24"/>
          <w:szCs w:val="24"/>
        </w:rPr>
        <w:t xml:space="preserve"> Практика, сложившуюся в арбитражных судах Российской Федерации свидетельствует, что при установлении возмещаемого размера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учитываются: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4.3.1. Положения п. 13 [5]: «… объем заявленных требований, цена иска, сложность дела, объем оказанных представителем услуг, время, необходимое на подготовку им процессуальных документов, продолжительность рассмотрения дела и другие обстоятельства. Разумность судебных издержек на оплату услуг представителя не может быть обоснована известностью представителя лица, участвующего в деле». 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4.3.2. Положения [6, 7], в которых указан ряд дополнительных по отношению к указанным в п. 3.2 параметров: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8" w:name="_Toc513148448"/>
      <w:r>
        <w:rPr>
          <w:rFonts w:ascii="Calibri" w:eastAsia="Times New Roman" w:hAnsi="Calibri" w:cs="Times New Roman"/>
          <w:sz w:val="24"/>
          <w:szCs w:val="24"/>
        </w:rPr>
        <w:t>нормы расходов на служебные командировки, установленные правовыми актами;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стоимость экономных транспортных услуг;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время, которое мог бы затратить на подготовку материалов квалифицированный специалист;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сложившаяся в данном регионе стоимость на сходные услуги с учетом квалификации лиц, оказывающих услуги;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имеющиеся сведения статистических органов о ценах на рынке юридических услуг;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поведение лиц, участвующих в деле, их отношение к процессуальным правам и обязанностям;</w:t>
      </w:r>
    </w:p>
    <w:p w:rsidR="00441D0B" w:rsidRDefault="00091BCB">
      <w:pPr>
        <w:pStyle w:val="a8"/>
        <w:numPr>
          <w:ilvl w:val="0"/>
          <w:numId w:val="19"/>
        </w:numPr>
        <w:spacing w:after="0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другие обстоятельства, свидетельствующие о разумности этих расходов.</w:t>
      </w:r>
    </w:p>
    <w:bookmarkEnd w:id="8"/>
    <w:p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4.4.</w:t>
      </w:r>
      <w:r>
        <w:rPr>
          <w:rFonts w:cs="Arial"/>
          <w:sz w:val="24"/>
          <w:szCs w:val="24"/>
        </w:rPr>
        <w:t xml:space="preserve"> Категория споров.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Споры могут быть разделены по следующим основным признакам: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сфере возникновения (экономическая, социальная и иные сферы, внутренние и международные споры и др.), 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предмету спора (о нарушенных правах, о компетенции и т.д.), 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по характеру сторон и кругу участников, 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по видам используемых правовых норм.</w:t>
      </w:r>
    </w:p>
    <w:p w:rsidR="00441D0B" w:rsidRDefault="00091BCB">
      <w:pPr>
        <w:spacing w:after="12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Фрагмент укрупненной классификации споров по сфере возникновения: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9"/>
        <w:gridCol w:w="2258"/>
        <w:gridCol w:w="6700"/>
      </w:tblGrid>
      <w:tr w:rsidR="00441D0B">
        <w:trPr>
          <w:tblHeader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Наименование</w:t>
            </w:r>
          </w:p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категории спора</w:t>
            </w:r>
          </w:p>
        </w:tc>
        <w:tc>
          <w:tcPr>
            <w:tcW w:w="6910" w:type="dxa"/>
            <w:shd w:val="clear" w:color="auto" w:fill="F2F2F2" w:themeFill="background1" w:themeFillShade="F2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Конституционные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действиями любой ветви власти, затрагивающей конституционные права лиц.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Гражданско-правовые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отношениями, регулируемыми гражданским законодательством.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Административные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отношениями частного лица с одним из исполнительных органов власти (административных органов).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Трудовые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 с трудовыми правоотношениями между работником и работодателем вне зависимости от того, выступает ли последний от лица государства или от другого лица.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Экономические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Это разногласия между предпринимателями (предприятиями и частными предпринимателями), а также между ними и органами государственной власти, которые связаны с предпринимательством.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Земельные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земельными отношениями – гражданские дела, рассматриваемые судом общей юрисдикции либо арбитражным судом в порядке гражданского и административного судопроизводства.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Наследственные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Связаны с наследственными правоотношениями. Могут возбуждать в гражданском судопроизводстве наследники по закону или по завещанию, а также другие лица.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Налоговые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НК РФ наделяет и физических лиц, и организации равным правом на обращение в суд за защитой нарушенных прав. Иски организаций и индивидуальных предпринимателей подаются в соответствии с правилами АПК РФ в арбитражный суд; иски физических лиц направляются на основании </w:t>
            </w:r>
            <w:proofErr w:type="spellStart"/>
            <w:r>
              <w:rPr>
                <w:rFonts w:cs="Arial"/>
              </w:rPr>
              <w:t>Гражданско</w:t>
            </w:r>
            <w:proofErr w:type="spellEnd"/>
            <w:r>
              <w:rPr>
                <w:rFonts w:ascii="MS Gothic" w:eastAsia="MS Gothic" w:hAnsi="MS Gothic" w:cs="MS Gothic" w:hint="eastAsia"/>
              </w:rPr>
              <w:t>‑</w:t>
            </w:r>
            <w:r>
              <w:rPr>
                <w:rFonts w:cs="Arial"/>
              </w:rPr>
              <w:t>процессуального кодекса в Верховный Суд РФ.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Семейные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Наиболее часто семейные споры возникают по поводу раздела имущества, уплаты алиментов, места проживания детей и порядка общения с ними одного из родителей, установления либо оспаривания отцовства, лишения родительских прав и многих других вопросов.</w:t>
            </w:r>
          </w:p>
        </w:tc>
      </w:tr>
      <w:tr w:rsidR="00441D0B">
        <w:tc>
          <w:tcPr>
            <w:tcW w:w="675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10</w:t>
            </w:r>
          </w:p>
        </w:tc>
        <w:tc>
          <w:tcPr>
            <w:tcW w:w="2268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Экологические</w:t>
            </w:r>
          </w:p>
        </w:tc>
        <w:tc>
          <w:tcPr>
            <w:tcW w:w="691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Отнесены законодательством к рассмотрению судов: арбитражных (если споры возникают между юридическими лицами) или судов общей юрисдикции (при разрешении споров с участием граждан).</w:t>
            </w:r>
          </w:p>
        </w:tc>
      </w:tr>
      <w:tr w:rsidR="00091BCB">
        <w:tc>
          <w:tcPr>
            <w:tcW w:w="675" w:type="dxa"/>
          </w:tcPr>
          <w:p w:rsidR="00091BC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268" w:type="dxa"/>
          </w:tcPr>
          <w:p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Прочие</w:t>
            </w:r>
          </w:p>
        </w:tc>
        <w:tc>
          <w:tcPr>
            <w:tcW w:w="6910" w:type="dxa"/>
          </w:tcPr>
          <w:p w:rsidR="00091BC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К</w:t>
            </w:r>
            <w:r w:rsidRPr="00091BCB">
              <w:rPr>
                <w:rFonts w:cs="Arial"/>
              </w:rPr>
              <w:t>орпоративные споры, споры в сфере интеллектуальной собственности, потребительские, в том числе коллективные иски, споры в сфере медицинского права, антимонопольные споры, таможенные споры, страховые споры, лизинговые споры, банковские споры, споры</w:t>
            </w:r>
            <w:r>
              <w:rPr>
                <w:rFonts w:cs="Arial"/>
              </w:rPr>
              <w:t xml:space="preserve"> в сфере банкротства</w:t>
            </w:r>
            <w:r w:rsidRPr="00091BCB">
              <w:rPr>
                <w:rFonts w:cs="Arial"/>
              </w:rPr>
              <w:t>, споры по возмещению вреда, причиненного жизни и здоровью граждан, споры по защите чести, достоинства и деловой репутации, споры в киберпространстве, споры в сфере энергетики, транспортные споры, споры в сфере недропользования, уголовные споры</w:t>
            </w:r>
          </w:p>
        </w:tc>
      </w:tr>
    </w:tbl>
    <w:p w:rsidR="00441D0B" w:rsidRDefault="00091BCB">
      <w:pPr>
        <w:spacing w:before="120" w:after="0"/>
        <w:ind w:firstLine="708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4.5.</w:t>
      </w:r>
      <w:r>
        <w:rPr>
          <w:rFonts w:ascii="Calibri" w:eastAsia="Times New Roman" w:hAnsi="Calibri" w:cs="Times New Roman"/>
          <w:sz w:val="24"/>
          <w:szCs w:val="24"/>
        </w:rPr>
        <w:t xml:space="preserve"> На рынке присутствует значительное количество исполнителей, оказывающих одинаковую номенклатуру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В анализе рынка следует описать сложившиеся в соответствующем сегменте рынка правила делового оборота при выборе уровня квалификации исполнителя. Например, обычно, при одинаковом предмете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требования к квалификации исполнителя возрастают с ростом стоимости предмета соответствующего судебного спора.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4.6.</w:t>
      </w:r>
      <w:r>
        <w:rPr>
          <w:rFonts w:ascii="Calibri" w:eastAsia="Times New Roman" w:hAnsi="Calibri" w:cs="Times New Roman"/>
          <w:sz w:val="24"/>
          <w:szCs w:val="24"/>
        </w:rPr>
        <w:t xml:space="preserve"> Рынок услуг по представлению интересов в судах имеет региональную специфику – различный количественный и качественный состав участников каждого региона определяет локальное ценообразование.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4.6.1. Основные особенности рынка Москвы (он же Федеральный рынок):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федеральных компаний (крупные российские и иностранные международные фирмы, которые работают по всей стране и в том числе участвуют в судебных заседаниях в арбитражных и общегражданских судах по всей стране). В случае участия такой компании в судебном споре в регионе, стоимость такого участия будет определятся московским/федеральным уровнем, а не локальным региональным;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наличие существенно большего количества участников рынка и как следствие большего количества сегментов потенциальных исполнителей услуг. Широкая палитра участников от частнопрактикующих юристов до крупнейших международных фирм.</w:t>
      </w:r>
    </w:p>
    <w:p w:rsidR="00441D0B" w:rsidRDefault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наличие специализации и различного ценообразования по различным категориям споров. Для регионального рынка как правило характерно единое ценообразование для всех категорий арбитражных споров и отдельно единое ценообразование для всех категорий общегражданских споров. 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4.6.2. Региональные рынки оказания услуг по представительству интересов в судах обычно имеют 2-3 сегмента разного уровня/качества исполнителей. При этом нижний сегмент участников рынка имеет массовый состав участников, занимающий большую часть рынка, и характеризуется небольшим штатом сотрудников, отсутствием специализации, «массовым сервисом». Верхний сегмент состоит из небольшого количества участников и характеризуется наиболее квалифицированным штатом сотрудников, успешной практикой по сложным/дорогим/уникальным спорам, известностью и авторитетом на локальном рынке. Стоимость услуг исполнителей верхнего и нижнего сегментов может существенно отличаться.</w:t>
      </w:r>
    </w:p>
    <w:p w:rsidR="00091BC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4.6.3. Следует учитывать, что услуги в конкретном регионе могут оказываться не только исполнителями из данного региона, но и из близлежащих. Целесообразность привлечения исполнителей из других регионов определяется:</w:t>
      </w:r>
    </w:p>
    <w:p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разницей в цене услуг,</w:t>
      </w:r>
    </w:p>
    <w:p w:rsidR="00091BC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величиной транспортных / сопутствующих расходов;</w:t>
      </w:r>
    </w:p>
    <w:p w:rsidR="00441D0B" w:rsidRDefault="00091BCB" w:rsidP="00091BCB">
      <w:pPr>
        <w:pStyle w:val="a8"/>
        <w:numPr>
          <w:ilvl w:val="0"/>
          <w:numId w:val="19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недоверием клиентов к исполнителям с местного рынка (ниже качество, выше риск утечки конфиденциальной информации, а также влияния оппонентов).</w:t>
      </w:r>
    </w:p>
    <w:p w:rsidR="00441D0B" w:rsidRDefault="00091BCB">
      <w:pPr>
        <w:spacing w:before="120" w:after="0"/>
        <w:ind w:firstLine="709"/>
        <w:jc w:val="both"/>
        <w:rPr>
          <w:rFonts w:cs="Arial"/>
          <w:i/>
          <w:sz w:val="24"/>
          <w:szCs w:val="24"/>
        </w:rPr>
      </w:pPr>
      <w:r>
        <w:rPr>
          <w:rFonts w:cs="Arial"/>
          <w:b/>
          <w:sz w:val="24"/>
          <w:szCs w:val="24"/>
        </w:rPr>
        <w:t>4.7.</w:t>
      </w:r>
      <w:r>
        <w:rPr>
          <w:rFonts w:cs="Arial"/>
          <w:sz w:val="24"/>
          <w:szCs w:val="24"/>
        </w:rPr>
        <w:t xml:space="preserve"> Возможные источники информации для проведения анализа рынка приведены в </w:t>
      </w:r>
      <w:r>
        <w:rPr>
          <w:rFonts w:cs="Arial"/>
          <w:i/>
          <w:sz w:val="24"/>
          <w:szCs w:val="24"/>
        </w:rPr>
        <w:t>Приложении 4.</w:t>
      </w:r>
    </w:p>
    <w:p w:rsidR="00441D0B" w:rsidRDefault="00441D0B">
      <w:pPr>
        <w:rPr>
          <w:rFonts w:eastAsia="Times New Roman" w:cstheme="majorBidi"/>
          <w:b/>
          <w:bCs/>
          <w:caps/>
          <w:sz w:val="28"/>
          <w:szCs w:val="28"/>
          <w:lang w:eastAsia="ru-RU"/>
        </w:rPr>
      </w:pPr>
      <w:bookmarkStart w:id="9" w:name="_Toc470602313"/>
    </w:p>
    <w:p w:rsidR="00441D0B" w:rsidRDefault="00091BCB">
      <w:pPr>
        <w:pStyle w:val="1"/>
        <w:jc w:val="center"/>
        <w:rPr>
          <w:rFonts w:asciiTheme="minorHAnsi" w:eastAsia="Times New Roman" w:hAnsiTheme="minorHAnsi"/>
          <w:caps/>
          <w:color w:val="auto"/>
        </w:rPr>
      </w:pPr>
      <w:bookmarkStart w:id="10" w:name="_Toc517881480"/>
      <w:r>
        <w:rPr>
          <w:rFonts w:asciiTheme="minorHAnsi" w:eastAsia="Times New Roman" w:hAnsiTheme="minorHAnsi"/>
          <w:caps/>
          <w:color w:val="auto"/>
        </w:rPr>
        <w:t>5. выбор подходов и методов оценки</w:t>
      </w:r>
      <w:bookmarkEnd w:id="9"/>
      <w:bookmarkEnd w:id="10"/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bookmarkStart w:id="11" w:name="_Toc465855604"/>
      <w:r>
        <w:rPr>
          <w:rFonts w:ascii="Calibri" w:eastAsia="Times New Roman" w:hAnsi="Calibri" w:cs="Times New Roman"/>
          <w:b/>
          <w:sz w:val="24"/>
          <w:szCs w:val="24"/>
        </w:rPr>
        <w:t>5.1.</w:t>
      </w:r>
      <w:r>
        <w:rPr>
          <w:rFonts w:ascii="Calibri" w:eastAsia="Times New Roman" w:hAnsi="Calibri" w:cs="Times New Roman"/>
          <w:sz w:val="24"/>
          <w:szCs w:val="24"/>
        </w:rPr>
        <w:t xml:space="preserve"> Выбор подходов (методов) к оценке основывается на анализе: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значений ценообразующих факторов объекта оценки;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рыночной конъюнктуры, в т.ч. наличия большого количества исполнителей, способных оказать аналогичные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значений ценообразующих факторов по объектам-аналогам.</w:t>
      </w:r>
    </w:p>
    <w:p w:rsidR="00441D0B" w:rsidRDefault="00091BCB">
      <w:pPr>
        <w:spacing w:before="120" w:after="60"/>
        <w:ind w:firstLine="709"/>
        <w:jc w:val="both"/>
        <w:rPr>
          <w:rFonts w:ascii="Calibri" w:eastAsia="Times New Roman" w:hAnsi="Calibri" w:cs="Times New Roman"/>
          <w:sz w:val="24"/>
          <w:szCs w:val="24"/>
          <w:highlight w:val="yellow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5.2.</w:t>
      </w:r>
      <w:r>
        <w:rPr>
          <w:rFonts w:ascii="Calibri" w:eastAsia="Times New Roman" w:hAnsi="Calibri" w:cs="Times New Roman"/>
          <w:sz w:val="24"/>
          <w:szCs w:val="24"/>
        </w:rPr>
        <w:t xml:space="preserve"> Практика применения подходов к оценке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: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сравнительный подход – является основным;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затратный подход – ограниченно применяется при почасовой модели определения вознаграждения (или применяется индикативно – его результаты не участвуют в итоговом согласовании);</w:t>
      </w:r>
    </w:p>
    <w:p w:rsidR="00441D0B" w:rsidRDefault="00091BCB">
      <w:pPr>
        <w:pStyle w:val="a8"/>
        <w:numPr>
          <w:ilvl w:val="0"/>
          <w:numId w:val="19"/>
        </w:numPr>
        <w:spacing w:after="12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доходный подход – для определения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>, как правило, не применяется.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5.3.</w:t>
      </w:r>
      <w:r>
        <w:rPr>
          <w:rFonts w:ascii="Calibri" w:eastAsia="Times New Roman" w:hAnsi="Calibri" w:cs="Times New Roman"/>
          <w:sz w:val="24"/>
          <w:szCs w:val="24"/>
        </w:rPr>
        <w:t xml:space="preserve"> Вывод о невозможности применения сравнительного подхода к оценке рекомендуется сопровождать описанием источников информации, проанализированных Оценщиком, а также пояснением, какой именно информации не хватает.</w:t>
      </w:r>
    </w:p>
    <w:bookmarkEnd w:id="11"/>
    <w:p w:rsidR="00441D0B" w:rsidRDefault="00441D0B">
      <w:pPr>
        <w:jc w:val="center"/>
        <w:rPr>
          <w:sz w:val="28"/>
          <w:szCs w:val="28"/>
        </w:rPr>
      </w:pP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2" w:name="_Toc470602314"/>
      <w:bookmarkStart w:id="13" w:name="_Toc517881481"/>
      <w:r>
        <w:rPr>
          <w:rFonts w:eastAsia="Times New Roman" w:cstheme="majorBidi"/>
          <w:b/>
          <w:bCs/>
          <w:caps/>
          <w:sz w:val="28"/>
          <w:szCs w:val="28"/>
        </w:rPr>
        <w:t>6. применение сравнительного подхода к оценке</w:t>
      </w:r>
      <w:bookmarkEnd w:id="12"/>
      <w:bookmarkEnd w:id="13"/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6.1.</w:t>
      </w:r>
      <w:r>
        <w:rPr>
          <w:sz w:val="24"/>
          <w:szCs w:val="24"/>
        </w:rPr>
        <w:t xml:space="preserve"> Рекомендуется использовать информацию о рыночных ценах сделок с объектами-аналогами (факт оказания аналогичных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>) по состоянию на дату оценки или на близкую к ней дату. При отсутствии информации по ценам сделок возможно использовать информацию по ценам предложений с внесением соответствующих корректировок (при необходимости).</w:t>
      </w:r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6.2.</w:t>
      </w:r>
      <w:r>
        <w:rPr>
          <w:sz w:val="24"/>
          <w:szCs w:val="24"/>
        </w:rPr>
        <w:t xml:space="preserve"> Рекомендуется не использовать информацию о ценах сделок (предложений) с объектами-аналогами, когда соответствующие сделки: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совершены между взаимозависимыми сторонами;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>совершены на нерыночных условиях (например, сокращенный срок выбора исполнителя услуг; невозможность выбора стороны, оказывающую услугу-аналог за пределами закрытого списка).</w:t>
      </w:r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6.3.</w:t>
      </w:r>
      <w:r>
        <w:rPr>
          <w:sz w:val="24"/>
          <w:szCs w:val="24"/>
        </w:rPr>
        <w:t xml:space="preserve"> Объекты-аналоги: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6.3.1. Должны относится к тому же сегменту рынка, что и объект оценки (см. п. 4.2).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6.3.2. Выбираются на основе анализа значений существенных ценообразующих параметров (см. п. 3.2). Значения ценообразующих параметров, используемых в расчетах объектов-аналогов, должны быть максимально близки к значениям ценообразующих параметров объекта оценки. Степень близости определяется доступной информацией по объектам-аналогам – в расчетах рекомендуется использовать те объекты-аналоги, различия в значениях ценообразующих параметров с которыми у объекта оценки минимальны.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6.3.3. Возможные источники информации по объектам-аналогам указаны в </w:t>
      </w:r>
      <w:r>
        <w:rPr>
          <w:i/>
          <w:sz w:val="24"/>
          <w:szCs w:val="24"/>
        </w:rPr>
        <w:t>Приложении 3</w:t>
      </w:r>
      <w:r>
        <w:rPr>
          <w:sz w:val="24"/>
          <w:szCs w:val="24"/>
        </w:rPr>
        <w:t xml:space="preserve">. 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6.3.4. Одним из возможных инструментов получения информации по цене (стоимости) объектов-аналогов является направление запросов исполнителям, оказывающим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и сопоставимым по своим характеристикам с исполнителем оцениваемых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(см. стр. 3 п. 3.2). В запросе следует указать значения основных ценообразующих параметров объекта оценки (п. 3.2). К отчету об оценке следует приложить копии соответствующих запросов и ответов.</w:t>
      </w:r>
    </w:p>
    <w:p w:rsidR="00441D0B" w:rsidRDefault="00091BC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6.3.5. В отчете об оценке следует указать значения основных ценообразующих факторов объектов-аналогов.</w:t>
      </w:r>
    </w:p>
    <w:p w:rsidR="00441D0B" w:rsidRDefault="00091BCB">
      <w:pPr>
        <w:spacing w:before="12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6.4. </w:t>
      </w:r>
      <w:r>
        <w:rPr>
          <w:sz w:val="24"/>
          <w:szCs w:val="24"/>
        </w:rPr>
        <w:t xml:space="preserve">Состояние рынка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таково, что, как правило, в открытых источниках отсутствует информация, необходимая для достоверного обоснования величины корректировок цен объектов-аналогов на различия с объектом оценки в значениях существенных ценообразующих параметров. Различия в значениях ценообразующих параметром учитываются через формирование однородной выборки объектов-аналогов, </w:t>
      </w:r>
      <w:r>
        <w:rPr>
          <w:rFonts w:ascii="Calibri" w:eastAsia="Times New Roman" w:hAnsi="Calibri" w:cs="Times New Roman"/>
          <w:sz w:val="24"/>
          <w:szCs w:val="24"/>
        </w:rPr>
        <w:t>значения ценообразующих параметров которых максимально близки к значениям объекта оценки – в дальнейших расчетах используются средние значения показателей по выборке.</w:t>
      </w:r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6.5.</w:t>
      </w:r>
      <w:r>
        <w:rPr>
          <w:rFonts w:ascii="Calibri" w:eastAsia="Times New Roman" w:hAnsi="Calibri" w:cs="Times New Roman"/>
          <w:sz w:val="24"/>
          <w:szCs w:val="24"/>
        </w:rPr>
        <w:t xml:space="preserve"> Типовые единицы сравнения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определяются общепринятыми на рынке моделями вознаграждения исполнителя услуг (стр. 5 п. 3.2).</w:t>
      </w:r>
    </w:p>
    <w:p w:rsidR="00441D0B" w:rsidRDefault="00091BCB">
      <w:pPr>
        <w:spacing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Как правило, для расчетов выбираются единица(ы) сравнения, соответствующие модели вознаграждения исполнителя, указанной в договоре на оказание услуг по представительству интересов в суде заказчика по рассматриваемому делу/судебному процессу.</w:t>
      </w:r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6.6.</w:t>
      </w:r>
      <w:r>
        <w:rPr>
          <w:sz w:val="24"/>
          <w:szCs w:val="24"/>
        </w:rPr>
        <w:t xml:space="preserve"> В общем виде расчет рыночной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осуществляется по следующим формулам:</w:t>
      </w:r>
    </w:p>
    <w:p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N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7796"/>
      </w:tblGrid>
      <w:tr w:rsidR="00441D0B">
        <w:trPr>
          <w:jc w:val="center"/>
        </w:trPr>
        <w:tc>
          <w:tcPr>
            <w:tcW w:w="959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441D0B" w:rsidRDefault="0091665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единицы сравнения в составе объекта оценки, ден.ед./ед.;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единиц сравнения в составе объекта оценки, ед.</w:t>
            </w:r>
          </w:p>
        </w:tc>
      </w:tr>
    </w:tbl>
    <w:p w:rsidR="00441D0B" w:rsidRDefault="00916650">
      <w:pPr>
        <w:spacing w:before="120" w:after="0"/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naryPr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=1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(</m:t>
            </m:r>
          </m:e>
        </m:nary>
        <m:sSubSup>
          <m:sSubSup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Sup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ЕД</m:t>
            </m:r>
          </m:sub>
          <m:sup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i</m:t>
            </m:r>
          </m:sup>
        </m:sSubSup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  <w:lang w:val="en-US"/>
              </w:rPr>
              <m:t>p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i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)</m:t>
        </m:r>
      </m:oMath>
      <w:r w:rsidR="00091BCB"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978"/>
        <w:gridCol w:w="7705"/>
      </w:tblGrid>
      <w:tr w:rsidR="00441D0B">
        <w:trPr>
          <w:jc w:val="center"/>
        </w:trPr>
        <w:tc>
          <w:tcPr>
            <w:tcW w:w="959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984" w:type="dxa"/>
            <w:vAlign w:val="center"/>
            <w:hideMark/>
          </w:tcPr>
          <w:p w:rsidR="00441D0B" w:rsidRDefault="0091665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Sup>
                <m:sSubSup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C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ЕД</m:t>
                  </m:r>
                </m:sub>
                <m:sup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i</m:t>
                  </m:r>
                </m:sup>
              </m:sSubSup>
            </m:oMath>
            <w:r w:rsidR="00091BCB"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 w:rsidR="00091BCB">
              <w:t xml:space="preserve">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 xml:space="preserve">рыночная цена единицы сравнения в составе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-го объекта-аналога, ден.ед./ед.;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:rsidR="00441D0B" w:rsidRDefault="0091665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i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rPr>
                <w:rFonts w:eastAsia="Lucida Sans Unicode" w:cs="Times New Roman"/>
                <w:kern w:val="2"/>
              </w:rPr>
              <w:t xml:space="preserve">вес </w:t>
            </w:r>
            <w:proofErr w:type="spellStart"/>
            <w:r>
              <w:rPr>
                <w:rFonts w:eastAsia="Lucida Sans Unicode" w:cs="Times New Roman"/>
                <w:kern w:val="2"/>
                <w:lang w:val="en-US"/>
              </w:rPr>
              <w:t>i</w:t>
            </w:r>
            <w:proofErr w:type="spellEnd"/>
            <w:r>
              <w:rPr>
                <w:rFonts w:eastAsia="Lucida Sans Unicode" w:cs="Times New Roman"/>
                <w:kern w:val="2"/>
              </w:rPr>
              <w:t>-го объекта-аналога, доли ед.;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984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n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 – </w:t>
            </w:r>
          </w:p>
        </w:tc>
        <w:tc>
          <w:tcPr>
            <w:tcW w:w="7796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количество объектов-аналогов, ед.</w:t>
            </w:r>
          </w:p>
        </w:tc>
      </w:tr>
    </w:tbl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6.7.</w:t>
      </w:r>
      <w:r>
        <w:rPr>
          <w:sz w:val="24"/>
          <w:szCs w:val="24"/>
        </w:rPr>
        <w:t xml:space="preserve"> Обычно, при согласовании скорректированных цен объектов-аналогов им присваиваются одинаковые веса (если нет оснований считать иначе).</w:t>
      </w: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4" w:name="_Toc517881482"/>
      <w:r>
        <w:rPr>
          <w:rFonts w:eastAsia="Times New Roman" w:cstheme="majorBidi"/>
          <w:b/>
          <w:bCs/>
          <w:caps/>
          <w:sz w:val="28"/>
          <w:szCs w:val="28"/>
        </w:rPr>
        <w:t>7. применение затратного подхода к оценке</w:t>
      </w:r>
      <w:bookmarkEnd w:id="14"/>
    </w:p>
    <w:p w:rsidR="00441D0B" w:rsidRDefault="00091BCB">
      <w:pPr>
        <w:spacing w:before="120" w:after="0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b/>
          <w:sz w:val="24"/>
          <w:szCs w:val="24"/>
        </w:rPr>
        <w:t>7.1.</w:t>
      </w:r>
      <w:r>
        <w:rPr>
          <w:sz w:val="24"/>
          <w:szCs w:val="24"/>
        </w:rPr>
        <w:t xml:space="preserve"> Применение </w:t>
      </w:r>
      <w:r>
        <w:rPr>
          <w:rFonts w:ascii="Calibri" w:eastAsia="Times New Roman" w:hAnsi="Calibri" w:cs="Times New Roman"/>
          <w:sz w:val="24"/>
          <w:szCs w:val="24"/>
        </w:rPr>
        <w:t xml:space="preserve">затратного подхода к оценке стоимости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носит ограниченный характер. Основная причина – невозможность моделирования с достаточной степенью достоверности величины суммарных издержек на оказание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. Например, в состав затрат могут затраты на маркетинг, относительная и абсолютная величина которых существенно отличается даже у Исполнителей, оказывающих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в одном сегменте рынка.</w:t>
      </w:r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7.2.</w:t>
      </w:r>
      <w:r>
        <w:rPr>
          <w:rFonts w:ascii="Calibri" w:eastAsia="Times New Roman" w:hAnsi="Calibri" w:cs="Times New Roman"/>
          <w:sz w:val="24"/>
          <w:szCs w:val="24"/>
        </w:rPr>
        <w:t xml:space="preserve"> Затратный подход может применяться при почасовой модели определения вознаграждения. </w:t>
      </w:r>
      <w:r>
        <w:rPr>
          <w:sz w:val="24"/>
          <w:szCs w:val="24"/>
        </w:rPr>
        <w:t xml:space="preserve">В общем виде рыночная стоимость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определяется по следующей формуле:</w:t>
      </w:r>
    </w:p>
    <w:p w:rsidR="00441D0B" w:rsidRDefault="00091BCB">
      <w:pPr>
        <w:spacing w:after="0"/>
        <w:jc w:val="center"/>
        <w:rPr>
          <w:sz w:val="24"/>
          <w:szCs w:val="24"/>
        </w:rPr>
      </w:pPr>
      <m:oMath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С=</m:t>
        </m:r>
        <m:sSub>
          <m:sSubPr>
            <m:ctrlPr>
              <w:rPr>
                <w:rFonts w:ascii="Cambria Math" w:eastAsia="Lucida Sans Unicode" w:hAnsi="Cambria Math" w:cs="Times New Roman"/>
                <w:i/>
                <w:kern w:val="2"/>
                <w:sz w:val="24"/>
                <w:szCs w:val="24"/>
              </w:rPr>
            </m:ctrlPr>
          </m:sSubPr>
          <m:e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С</m:t>
            </m:r>
          </m:e>
          <m:sub>
            <m:r>
              <w:rPr>
                <w:rFonts w:ascii="Cambria Math" w:eastAsia="Lucida Sans Unicode" w:hAnsi="Cambria Math" w:cs="Times New Roman"/>
                <w:kern w:val="2"/>
                <w:sz w:val="24"/>
                <w:szCs w:val="24"/>
              </w:rPr>
              <m:t>Ч</m:t>
            </m:r>
          </m:sub>
        </m:sSub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  <w:lang w:val="en-US"/>
          </w:rPr>
          <m:t>T</m:t>
        </m:r>
        <m:r>
          <w:rPr>
            <w:rFonts w:ascii="Cambria Math" w:eastAsia="Lucida Sans Unicode" w:hAnsi="Cambria Math" w:cs="Times New Roman"/>
            <w:kern w:val="2"/>
            <w:sz w:val="24"/>
            <w:szCs w:val="24"/>
          </w:rPr>
          <m:t>×(1+ПП)</m:t>
        </m:r>
      </m:oMath>
      <w:r>
        <w:rPr>
          <w:rFonts w:eastAsiaTheme="minorEastAsia"/>
          <w:kern w:val="2"/>
          <w:sz w:val="24"/>
          <w:szCs w:val="24"/>
        </w:rPr>
        <w:t>,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84"/>
        <w:gridCol w:w="6379"/>
      </w:tblGrid>
      <w:tr w:rsidR="00441D0B">
        <w:trPr>
          <w:jc w:val="center"/>
        </w:trPr>
        <w:tc>
          <w:tcPr>
            <w:tcW w:w="959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w:r>
              <w:t>где:</w:t>
            </w:r>
          </w:p>
        </w:tc>
        <w:tc>
          <w:tcPr>
            <w:tcW w:w="884" w:type="dxa"/>
            <w:vAlign w:val="center"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w:rPr>
                  <w:rFonts w:ascii="Cambria Math" w:eastAsia="Lucida Sans Unicode" w:hAnsi="Cambria Math" w:cs="Times New Roman"/>
                  <w:kern w:val="2"/>
                </w:rPr>
                <m:t>С</m:t>
              </m:r>
            </m:oMath>
            <w:r>
              <w:rPr>
                <w:rFonts w:eastAsia="Lucida Sans Unicode" w:cs="Times New Roman"/>
                <w:kern w:val="2"/>
                <w:lang w:val="en-US" w:eastAsia="ru-RU"/>
              </w:rPr>
              <w:t xml:space="preserve"> </w:t>
            </w:r>
            <w:r>
              <w:t xml:space="preserve">– </w:t>
            </w:r>
          </w:p>
        </w:tc>
        <w:tc>
          <w:tcPr>
            <w:tcW w:w="6379" w:type="dxa"/>
            <w:vAlign w:val="center"/>
          </w:tcPr>
          <w:p w:rsidR="00441D0B" w:rsidRDefault="00091BCB">
            <w:pPr>
              <w:widowControl w:val="0"/>
              <w:suppressAutoHyphens/>
              <w:rPr>
                <w:rFonts w:eastAsia="Lucida Sans Unicode" w:cs="Times New Roman"/>
                <w:kern w:val="2"/>
              </w:rPr>
            </w:pPr>
            <w:r>
              <w:t>рыночная стоимость объекта оценки, ден.ед.;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</w:pPr>
          </w:p>
        </w:tc>
        <w:tc>
          <w:tcPr>
            <w:tcW w:w="884" w:type="dxa"/>
            <w:vAlign w:val="center"/>
          </w:tcPr>
          <w:p w:rsidR="00441D0B" w:rsidRDefault="00916650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sSub>
                <m:sSubPr>
                  <m:ctrlPr>
                    <w:rPr>
                      <w:rFonts w:ascii="Cambria Math" w:eastAsia="Lucida Sans Unicode" w:hAnsi="Cambria Math" w:cs="Times New Roman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С</m:t>
                  </m:r>
                </m:e>
                <m:sub>
                  <m:r>
                    <w:rPr>
                      <w:rFonts w:ascii="Cambria Math" w:eastAsia="Lucida Sans Unicode" w:hAnsi="Cambria Math" w:cs="Times New Roman"/>
                      <w:kern w:val="2"/>
                    </w:rPr>
                    <m:t>Ч</m:t>
                  </m:r>
                </m:sub>
              </m:sSub>
            </m:oMath>
            <w:r w:rsidR="00091BCB">
              <w:t xml:space="preserve"> – </w:t>
            </w:r>
          </w:p>
        </w:tc>
        <w:tc>
          <w:tcPr>
            <w:tcW w:w="6379" w:type="dxa"/>
            <w:vAlign w:val="center"/>
          </w:tcPr>
          <w:p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 xml:space="preserve">себестоимость часа работы исполнителя </w:t>
            </w:r>
            <w:proofErr w:type="spellStart"/>
            <w:r>
              <w:t>УПИвС</w:t>
            </w:r>
            <w:proofErr w:type="spellEnd"/>
            <w:r>
              <w:t xml:space="preserve"> (себестоимость рабочего места юриста с учетом всех затрат), ден.ед./ч;</w:t>
            </w:r>
          </w:p>
        </w:tc>
      </w:tr>
      <w:tr w:rsidR="00441D0B">
        <w:trPr>
          <w:jc w:val="center"/>
        </w:trPr>
        <w:tc>
          <w:tcPr>
            <w:tcW w:w="959" w:type="dxa"/>
            <w:vAlign w:val="center"/>
          </w:tcPr>
          <w:p w:rsidR="00441D0B" w:rsidRDefault="00441D0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</w:p>
        </w:tc>
        <w:tc>
          <w:tcPr>
            <w:tcW w:w="884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right"/>
              <w:rPr>
                <w:rFonts w:eastAsia="Lucida Sans Unicode" w:cs="Times New Roman"/>
                <w:kern w:val="2"/>
              </w:rPr>
            </w:pPr>
            <m:oMath>
              <m:r>
                <m:rPr>
                  <m:sty m:val="p"/>
                </m:rPr>
                <w:rPr>
                  <w:rFonts w:ascii="Cambria Math" w:eastAsia="Lucida Sans Unicode" w:hAnsi="Cambria Math" w:cs="Times New Roman"/>
                  <w:kern w:val="2"/>
                  <w:lang w:val="en-US"/>
                </w:rPr>
                <m:t>T</m:t>
              </m:r>
            </m:oMath>
            <w:r>
              <w:t xml:space="preserve"> – </w:t>
            </w:r>
          </w:p>
        </w:tc>
        <w:tc>
          <w:tcPr>
            <w:tcW w:w="6379" w:type="dxa"/>
            <w:vAlign w:val="center"/>
            <w:hideMark/>
          </w:tcPr>
          <w:p w:rsidR="00441D0B" w:rsidRDefault="00091BCB">
            <w:pPr>
              <w:widowControl w:val="0"/>
              <w:suppressAutoHyphens/>
              <w:jc w:val="both"/>
              <w:rPr>
                <w:rFonts w:eastAsia="Lucida Sans Unicode" w:cs="Times New Roman"/>
                <w:kern w:val="2"/>
              </w:rPr>
            </w:pPr>
            <w:r>
              <w:t>суммарная трудоемкость объекта оценки, ч.</w:t>
            </w:r>
          </w:p>
        </w:tc>
      </w:tr>
    </w:tbl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7.3.</w:t>
      </w:r>
      <w:r>
        <w:rPr>
          <w:sz w:val="24"/>
          <w:szCs w:val="24"/>
        </w:rPr>
        <w:t xml:space="preserve"> Величина прибыли предпринимателя может быть определена с учетом:</w:t>
      </w:r>
    </w:p>
    <w:p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>рентабельности сопоставимых услуг по данным Федеральной службы государственной статистики</w:t>
      </w:r>
      <w:r>
        <w:rPr>
          <w:rStyle w:val="af0"/>
          <w:sz w:val="24"/>
          <w:szCs w:val="24"/>
        </w:rPr>
        <w:footnoteReference w:id="2"/>
      </w:r>
      <w:r>
        <w:rPr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рыночной рентабельности исполнителей, оказывающих аналогичные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rStyle w:val="af0"/>
          <w:sz w:val="24"/>
          <w:szCs w:val="24"/>
        </w:rPr>
        <w:footnoteReference w:id="3"/>
      </w:r>
      <w:r>
        <w:rPr>
          <w:sz w:val="24"/>
          <w:szCs w:val="24"/>
        </w:rPr>
        <w:t>;</w:t>
      </w:r>
    </w:p>
    <w:p w:rsidR="00441D0B" w:rsidRDefault="00091BCB">
      <w:pPr>
        <w:pStyle w:val="a8"/>
        <w:numPr>
          <w:ilvl w:val="0"/>
          <w:numId w:val="28"/>
        </w:numPr>
        <w:spacing w:after="0"/>
        <w:ind w:left="1423" w:hanging="357"/>
        <w:jc w:val="both"/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sz w:val="24"/>
          <w:szCs w:val="24"/>
        </w:rPr>
        <w:t xml:space="preserve">фактической рентабельности исполнителя, оказывающего оцениваемую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(в случае отсутствия информации по исполнителям, способным оказать аналогичные услуги).</w:t>
      </w: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5" w:name="_Toc517881483"/>
      <w:r>
        <w:rPr>
          <w:rFonts w:eastAsia="Times New Roman" w:cstheme="majorBidi"/>
          <w:b/>
          <w:bCs/>
          <w:caps/>
          <w:sz w:val="28"/>
          <w:szCs w:val="28"/>
        </w:rPr>
        <w:t>8. ЗАКЛЮЧИТЕЛЬНЫЕ ПОЛОЖЕНИЯ</w:t>
      </w:r>
      <w:bookmarkEnd w:id="15"/>
    </w:p>
    <w:p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8.1.</w:t>
      </w:r>
      <w:r>
        <w:rPr>
          <w:sz w:val="24"/>
          <w:szCs w:val="24"/>
        </w:rPr>
        <w:t xml:space="preserve"> При составлении отчета об оценке рыночной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следует соблюдать требования ФСО № 1 – 3.</w:t>
      </w:r>
    </w:p>
    <w:p w:rsidR="00441D0B" w:rsidRDefault="00091BCB">
      <w:pPr>
        <w:spacing w:before="120" w:after="12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8.2.</w:t>
      </w:r>
      <w:r>
        <w:rPr>
          <w:sz w:val="24"/>
          <w:szCs w:val="24"/>
        </w:rPr>
        <w:t xml:space="preserve"> Итоговую величину стоимости </w:t>
      </w:r>
      <w:proofErr w:type="spellStart"/>
      <w:r>
        <w:rPr>
          <w:sz w:val="24"/>
          <w:szCs w:val="24"/>
        </w:rPr>
        <w:t>УПИвС</w:t>
      </w:r>
      <w:proofErr w:type="spellEnd"/>
      <w:r>
        <w:rPr>
          <w:sz w:val="24"/>
          <w:szCs w:val="24"/>
        </w:rPr>
        <w:t xml:space="preserve"> рекомендуется представить в округленном виде согласно [4].</w:t>
      </w:r>
    </w:p>
    <w:p w:rsidR="00441D0B" w:rsidRDefault="00091BCB">
      <w:pPr>
        <w:spacing w:before="12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8.3.</w:t>
      </w:r>
      <w:r>
        <w:rPr>
          <w:sz w:val="24"/>
          <w:szCs w:val="24"/>
        </w:rPr>
        <w:t xml:space="preserve"> Рекомендуется не выделять НДС в итоговой стоимости объекта оценки.</w:t>
      </w:r>
    </w:p>
    <w:p w:rsidR="00441D0B" w:rsidRDefault="00091BCB">
      <w:pPr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положениями ст. 3 Закона об оценке [1] при определении рыночной стоимости объекта оценки моделируется поведение типичных рыночных субъектов. НДС является характеристикой конкретной сделки между конкретными (а не типичными) субъектами. Возможная формулировка в отчете об оценке – «стоимость с учетом всех налогов».</w:t>
      </w:r>
    </w:p>
    <w:p w:rsidR="00441D0B" w:rsidRDefault="00091BCB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6" w:name="_Toc517881484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СПИСОК ИСТОЧНИКОВ</w:t>
      </w:r>
      <w:bookmarkEnd w:id="16"/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«Об оценочной деятельности в Российской Федерации» от 29.07.1998 №135-ФЗ.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31.05.2001 N 73-ФЗ «О государственной судебно-экспертной деятельности в Российской Федерации».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Методические разъяснения по вопросу округления итоговой величины стоимости объекта оценки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Рекомендации по формированию раздела «Допущения и ограничения» // Ассоциация «СРОО «Экспертный совет». URL: </w:t>
      </w:r>
      <w:proofErr w:type="spellStart"/>
      <w:r>
        <w:rPr>
          <w:sz w:val="24"/>
          <w:szCs w:val="24"/>
        </w:rPr>
        <w:t>http</w:t>
      </w:r>
      <w:proofErr w:type="spellEnd"/>
      <w:r>
        <w:rPr>
          <w:sz w:val="24"/>
          <w:szCs w:val="24"/>
          <w:lang w:val="en-US"/>
        </w:rPr>
        <w:t>s</w:t>
      </w:r>
      <w:r>
        <w:rPr>
          <w:sz w:val="24"/>
          <w:szCs w:val="24"/>
        </w:rPr>
        <w:t>://srosovet.ru/</w:t>
      </w:r>
      <w:proofErr w:type="spellStart"/>
      <w:r>
        <w:rPr>
          <w:sz w:val="24"/>
          <w:szCs w:val="24"/>
        </w:rPr>
        <w:t>activities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Metod</w:t>
      </w:r>
      <w:proofErr w:type="spellEnd"/>
      <w:r>
        <w:rPr>
          <w:sz w:val="24"/>
          <w:szCs w:val="24"/>
        </w:rPr>
        <w:t>/ (дата обращения: 21.06.2018).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Пленума Верховного Суда Российской Федерации от 21.01.2016 № 1 «О некоторых вопросах применения законодательства о возмещении издержек, связанных с рассмотрением дела».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Президиума Высшего Арбитражного Суда РФ от 07.02.2006 № 12088/05</w:t>
      </w:r>
    </w:p>
    <w:p w:rsidR="00441D0B" w:rsidRDefault="00091BCB">
      <w:pPr>
        <w:pStyle w:val="a8"/>
        <w:numPr>
          <w:ilvl w:val="0"/>
          <w:numId w:val="29"/>
        </w:numPr>
        <w:spacing w:before="120" w:after="12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письмо Президиума Высшего Арбитражного Суда Российской Федерации от 13.08.2004 №82 «О некоторых вопросах применения Арбитражного процессуального кодекса Российской Федерации».</w:t>
      </w:r>
    </w:p>
    <w:p w:rsidR="00441D0B" w:rsidRDefault="00091BCB">
      <w:pPr>
        <w:rPr>
          <w:rFonts w:eastAsia="Times New Roman" w:cstheme="majorBidi"/>
          <w:b/>
          <w:bCs/>
          <w:caps/>
          <w:sz w:val="28"/>
          <w:szCs w:val="28"/>
        </w:rPr>
      </w:pPr>
      <w:r>
        <w:rPr>
          <w:rFonts w:eastAsia="Times New Roman" w:cstheme="majorBidi"/>
          <w:b/>
          <w:bCs/>
          <w:caps/>
          <w:sz w:val="28"/>
          <w:szCs w:val="28"/>
        </w:rPr>
        <w:br w:type="page"/>
      </w:r>
    </w:p>
    <w:p w:rsidR="00441D0B" w:rsidRDefault="00091BCB">
      <w:pPr>
        <w:keepNext/>
        <w:keepLines/>
        <w:spacing w:before="480" w:after="0"/>
        <w:jc w:val="center"/>
        <w:outlineLvl w:val="0"/>
        <w:rPr>
          <w:rFonts w:eastAsia="Times New Roman" w:cstheme="majorBidi"/>
          <w:b/>
          <w:bCs/>
          <w:caps/>
          <w:sz w:val="28"/>
          <w:szCs w:val="28"/>
        </w:rPr>
      </w:pPr>
      <w:bookmarkStart w:id="17" w:name="_Toc517881485"/>
      <w:r>
        <w:rPr>
          <w:rFonts w:eastAsia="Times New Roman" w:cstheme="majorBidi"/>
          <w:b/>
          <w:bCs/>
          <w:caps/>
          <w:sz w:val="28"/>
          <w:szCs w:val="28"/>
        </w:rPr>
        <w:lastRenderedPageBreak/>
        <w:t>ПРИЛОЖЕНИЯ</w:t>
      </w:r>
      <w:bookmarkEnd w:id="17"/>
    </w:p>
    <w:p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8" w:name="_Toc517881486"/>
      <w:r>
        <w:rPr>
          <w:rFonts w:asciiTheme="minorHAnsi" w:hAnsiTheme="minorHAnsi"/>
          <w:b/>
          <w:color w:val="auto"/>
          <w:sz w:val="28"/>
          <w:szCs w:val="28"/>
        </w:rPr>
        <w:t>Приложение 1. Практика взыскания судебных расходов на оплату услуг представителей</w:t>
      </w:r>
      <w:bookmarkEnd w:id="18"/>
    </w:p>
    <w:p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</w:t>
      </w:r>
      <w:r>
        <w:rPr>
          <w:rFonts w:cs="Arial"/>
          <w:sz w:val="24"/>
          <w:szCs w:val="24"/>
        </w:rPr>
        <w:t xml:space="preserve"> В 2017 году в России было рассмотрено 1,7 млн арбитражных дел и 14,8 млн гражданских дел в судах общей юрисдикции</w:t>
      </w:r>
      <w:r>
        <w:rPr>
          <w:rStyle w:val="af0"/>
          <w:rFonts w:cs="Arial"/>
          <w:sz w:val="24"/>
          <w:szCs w:val="24"/>
        </w:rPr>
        <w:footnoteReference w:id="4"/>
      </w:r>
      <w:r>
        <w:rPr>
          <w:rFonts w:cs="Arial"/>
          <w:sz w:val="24"/>
          <w:szCs w:val="24"/>
        </w:rPr>
        <w:t>. При этом по экспертным оценкам приблизительно в 10% дел услуги оказывают представители, расходы на которых может взыскать сторона в пользу которой вынесено решение суда (ст. 100 ГПК и ст. 110 АПК).</w:t>
      </w:r>
    </w:p>
    <w:p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В Российской Федерации наблюдается тенденция к уменьшению размера взыскиваемых расходов относительно их фактического размера, в котором их понёс заказчик этих услуг. Особенно консервативны судьи при взыскании судебных расходов из бюджета, когда проигравшей стороной оказывается какой-либо государственный орган.</w:t>
      </w:r>
    </w:p>
    <w:p w:rsidR="00441D0B" w:rsidRDefault="00091BCB">
      <w:pPr>
        <w:spacing w:before="120"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Судебная практика свидетельствует, что основным аргументом в пользу уменьшения размера расходов является их «чрезмерность». Например, исследования рынка юридических услуг</w:t>
      </w:r>
      <w:r>
        <w:rPr>
          <w:rStyle w:val="af0"/>
          <w:rFonts w:cs="Arial"/>
          <w:sz w:val="24"/>
          <w:szCs w:val="24"/>
        </w:rPr>
        <w:footnoteReference w:id="5"/>
      </w:r>
      <w:r>
        <w:rPr>
          <w:rFonts w:cs="Arial"/>
          <w:sz w:val="24"/>
          <w:szCs w:val="24"/>
        </w:rPr>
        <w:t xml:space="preserve"> показывают, что арбитражные суды присуждают заявленные суммы расходов на представителя в 53,7% случаев, остальные — это всегда сниженные суммы. Средний размер реально взысканной суммы на 40% меньше, чем средняя сумма, заявленная к взысканию. При этом чем больше заявленная к взысканию сумма, тем больше она уменьшается судьями. В судах общей юрисдикции различие заявленных и взысканных сумм еще больше –заявленные суммы на представителя присуждаются лишь в 14,2% случаев.</w:t>
      </w:r>
    </w:p>
    <w:p w:rsidR="00441D0B" w:rsidRDefault="00091BCB">
      <w:pPr>
        <w:spacing w:before="120"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Примеры причин снижения расходов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7080"/>
      </w:tblGrid>
      <w:tr w:rsidR="00441D0B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 п</w:t>
            </w:r>
            <w:r>
              <w:rPr>
                <w:rFonts w:cs="Arial"/>
                <w:b/>
                <w:lang w:val="en-US"/>
              </w:rPr>
              <w:t>/</w:t>
            </w:r>
            <w:r>
              <w:rPr>
                <w:rFonts w:cs="Arial"/>
                <w:b/>
              </w:rPr>
              <w:t>п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Причина</w:t>
            </w:r>
          </w:p>
        </w:tc>
        <w:tc>
          <w:tcPr>
            <w:tcW w:w="7080" w:type="dxa"/>
            <w:shd w:val="clear" w:color="auto" w:fill="D9D9D9" w:themeFill="background1" w:themeFillShade="D9"/>
            <w:vAlign w:val="center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Комментарий</w:t>
            </w:r>
          </w:p>
        </w:tc>
      </w:tr>
      <w:tr w:rsidR="00441D0B">
        <w:tc>
          <w:tcPr>
            <w:tcW w:w="562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985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Заявленная сумма завышена и не соответствует проделанной работе</w:t>
            </w:r>
          </w:p>
        </w:tc>
        <w:tc>
          <w:tcPr>
            <w:tcW w:w="708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№А40–248 251/2016 – расходы на представителя снижены с 112 тыс. до 40 тыс. рублей.</w:t>
            </w:r>
          </w:p>
          <w:p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«…Оценив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доказательств,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совокупности, на основании ст.ст.101, 106, 110 АПК РФ суд приходит к выводу о чрезмерности заявленных в сумме 112 000 руб. расходов на оплату услуг представителя и считает возможным взыскать с ответчика в пользу Общества 40 000 руб.</w:t>
            </w:r>
          </w:p>
          <w:p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При этом суд исходит из того, сумма в размере 40 000 руб. соотносима с объемом защищаемого права, характером заявленного спора, степенью его сложности, затраченного времени на его подготовку, количества судебных заседаний, а также является разумной и достаточной для компенсации всех судебных расходов истца, связанных с рассмотрением настоящего дела…».</w:t>
            </w:r>
          </w:p>
          <w:p w:rsidR="00441D0B" w:rsidRDefault="00091BCB">
            <w:pPr>
              <w:spacing w:before="120"/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 дело №А40–187 798/2015 – расходы на представителя снижены с 200 тыс. до 50 тыс. рублей.</w:t>
            </w:r>
          </w:p>
          <w:p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lastRenderedPageBreak/>
              <w:t>«…Решение о снижении размера судебных расходов принимается судом с учетом степени сложности дела, в процессе рассмотрения которого не потребовалось значительных трудозатрат и специальных знаний.</w:t>
            </w:r>
          </w:p>
          <w:p w:rsidR="00441D0B" w:rsidRDefault="00091BCB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Таким образом, дело не относится к категории сложного ни по подлежащим применению нормам права, ни по предмету доказывания.</w:t>
            </w:r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Доказательств значительности трудозатрат на подготовку позиции по делу и сбор доказательств истцом в материалы дела не представлено…»</w:t>
            </w:r>
          </w:p>
        </w:tc>
      </w:tr>
      <w:tr w:rsidR="00441D0B">
        <w:tc>
          <w:tcPr>
            <w:tcW w:w="562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2</w:t>
            </w:r>
          </w:p>
        </w:tc>
        <w:tc>
          <w:tcPr>
            <w:tcW w:w="1985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Несоответствие стоимости аналогичных услуг</w:t>
            </w:r>
          </w:p>
        </w:tc>
        <w:tc>
          <w:tcPr>
            <w:tcW w:w="7080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Пример: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</w:rPr>
              <w:t>дело №А40-171520/2015 – расходы на представителя снижены с 120 тыс. до 10 тыс. рублей.</w:t>
            </w:r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  <w:i/>
              </w:rPr>
              <w:t>«Исследовав и оценив в совокупности представленные заявителем доказательства, суд пришел к выводу о необходимости снижения подлежащих взысканию судебных расходов до 10 000 рублей, считая это разумным пределом с учетом объема и сложности выполненной работы, времени, потраченного на подготовку материалов, сложившейся в Московском регионе стоимости на сходные услуги с учетом квалификации лиц, оказывающих услуги, имеющихся сведений статистических органов о ценах на рынке юридических услуг, с учетом продолжительности рассмотрения дела, в связи с чем требование истца о взыскании судебных расходов подлежит удовлетворению частично…».</w:t>
            </w:r>
          </w:p>
        </w:tc>
      </w:tr>
    </w:tbl>
    <w:p w:rsidR="00441D0B" w:rsidRDefault="00091BCB">
      <w:pPr>
        <w:spacing w:before="120" w:after="0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2.</w:t>
      </w:r>
      <w:r>
        <w:rPr>
          <w:rFonts w:cs="Arial"/>
          <w:sz w:val="24"/>
          <w:szCs w:val="24"/>
        </w:rPr>
        <w:t xml:space="preserve"> Представительство интересов в суде — юридическая услуга, стоимость которой нередко является предметом обсуждения и доказывания. Судьи, юристы и их клиенты — каждый рассматривает ее со своей точки зрения, учитывая зачастую совсем разные моменты. При этом «за бортом» порой оказываются ситуация в экономике и общие для всех правила ценообразования в рыночных условиях.</w:t>
      </w:r>
    </w:p>
    <w:p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В подобной ситуации компромисса часто можно достичь, опираясь на определенные ориентиры, такие как цена у конкурентов или в принципе средняя стоимость услуг в заданном секторе. Компании нередко сами собирают данные от коллег, но, как правило, мало кто из них располагает ресурсами, позволяющими сделать полную выборку по рынку. Поэтому, специализированное исследование у юристов востребовано, это хороший аргумент при общении с клиентами и обоснование расходов, заявляемых к взысканию в суде. Ещё более сильным аргументом может стать отчёт об оценке рыночной стоимости услуг по представительству в конкретном деле, подготовленный в соответствии с Законом об оценке [1] (дополнительно см. </w:t>
      </w:r>
      <w:r>
        <w:rPr>
          <w:rFonts w:cs="Arial"/>
          <w:i/>
          <w:sz w:val="24"/>
          <w:szCs w:val="24"/>
        </w:rPr>
        <w:t>Приложение 2</w:t>
      </w:r>
      <w:r>
        <w:rPr>
          <w:rFonts w:cs="Arial"/>
          <w:sz w:val="24"/>
          <w:szCs w:val="24"/>
        </w:rPr>
        <w:t>).</w:t>
      </w:r>
    </w:p>
    <w:p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Право использовать такие инструменты в суде подтверждено мнением высшей инстанции. Так п. 20 Информационного письма Президиума ВАС РФ от 13.08.2004 № 82 (в редакции от 01.07.2014) «О некоторых вопросах применения Арбитражного процессуального кодекса Российской Федерации» указывает, что для определения разумных пределов соответствующих затрат могут приниматься во внимание сложившаяся в регионе стоимость оплаты услуг адвокатов и имеющиеся сведения статистических органов о ценах на юридическом рынке.</w:t>
      </w:r>
    </w:p>
    <w:p w:rsidR="00441D0B" w:rsidRDefault="00091BCB">
      <w:pPr>
        <w:spacing w:after="0"/>
        <w:ind w:firstLine="709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Закрепило за судами право применять сравнительный метод при определении разумности расходов Постановление Пленума Верховного Суда РФ от 21.01.2016 № 1 [4], согласно которому разумными считаются такие расходы на представителя, которые обычно взимаются за аналогичные услуги при сравнимых обстоятельствах.</w:t>
      </w:r>
    </w:p>
    <w:p w:rsidR="00441D0B" w:rsidRDefault="00091BCB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3.</w:t>
      </w:r>
      <w:r>
        <w:rPr>
          <w:rFonts w:cs="Arial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 областью применения оценки рыночной стоимости юридических услуг могут другие предметы спора в арбитражных и общегражданских судах. Например, оспаривание договоров на оказание юридических услуг физическому или юридическому лицу, вступившему в процедуру банкротства, на основании п. 1 ст. 61.2 №127-ФЗ «О несостоятельности (банкротстве)» как неравноценное встречное предложение. В таких случаях предметом спора являются условия договора на оказание юридических услуг, в частности стоимость оказываемых услуг. Подтверждением либо опровержением рыночности условий заключенного договора может среди прочего служить отчёт об оценке юридических услуг, составленный в соответствии со 135-ФЗ «Об оценочной деятельности» и Федеральными стандартами оценки. При этом достоверность отчёта об оценке может подтверждаться экспертизой СРО.</w:t>
      </w:r>
    </w:p>
    <w:p w:rsidR="00441D0B" w:rsidRDefault="00091BCB">
      <w:pPr>
        <w:pStyle w:val="a8"/>
        <w:ind w:left="0" w:firstLine="708"/>
        <w:jc w:val="both"/>
        <w:rPr>
          <w:b/>
          <w:sz w:val="24"/>
          <w:szCs w:val="24"/>
        </w:rPr>
      </w:pPr>
      <w:r>
        <w:rPr>
          <w:rFonts w:cs="Arial"/>
          <w:sz w:val="24"/>
          <w:szCs w:val="24"/>
        </w:rPr>
        <w:t>Пример: дело №</w:t>
      </w:r>
      <w:r>
        <w:rPr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А40-171885/14</w:t>
      </w:r>
      <w:r>
        <w:rPr>
          <w:rStyle w:val="af0"/>
          <w:rFonts w:cs="Arial"/>
          <w:sz w:val="24"/>
          <w:szCs w:val="24"/>
        </w:rPr>
        <w:footnoteReference w:id="6"/>
      </w:r>
      <w:r>
        <w:rPr>
          <w:rFonts w:cs="Arial"/>
          <w:sz w:val="24"/>
          <w:szCs w:val="24"/>
        </w:rPr>
        <w:t xml:space="preserve">, конкурсный управляющий АО «Группа Е4 о признании недействительной сделкой соглашение об оказании юридических услуг, заключенное между АО «Группа Е4» и Герберт Смит </w:t>
      </w:r>
      <w:proofErr w:type="spellStart"/>
      <w:r>
        <w:rPr>
          <w:rFonts w:cs="Arial"/>
          <w:sz w:val="24"/>
          <w:szCs w:val="24"/>
        </w:rPr>
        <w:t>Фрихилз</w:t>
      </w:r>
      <w:proofErr w:type="spellEnd"/>
      <w:r>
        <w:rPr>
          <w:b/>
          <w:sz w:val="24"/>
          <w:szCs w:val="24"/>
        </w:rPr>
        <w:t>.</w:t>
      </w:r>
    </w:p>
    <w:p w:rsidR="00441D0B" w:rsidRDefault="00091BC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19" w:name="_Toc517881487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 xml:space="preserve">Приложение 2. О возможных формах документов, в которых устанавливается стоимость </w:t>
      </w:r>
      <w:proofErr w:type="spellStart"/>
      <w:r>
        <w:rPr>
          <w:rFonts w:asciiTheme="minorHAnsi" w:hAnsiTheme="minorHAnsi"/>
          <w:b/>
          <w:color w:val="auto"/>
          <w:sz w:val="28"/>
          <w:szCs w:val="28"/>
        </w:rPr>
        <w:t>УПИвС</w:t>
      </w:r>
      <w:bookmarkEnd w:id="19"/>
      <w:proofErr w:type="spellEnd"/>
    </w:p>
    <w:p w:rsidR="00441D0B" w:rsidRDefault="00091BCB">
      <w:pPr>
        <w:spacing w:before="120" w:after="0" w:line="240" w:lineRule="auto"/>
        <w:ind w:firstLine="709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1.</w:t>
      </w:r>
      <w:r>
        <w:rPr>
          <w:rFonts w:cs="Times New Roman"/>
          <w:sz w:val="24"/>
          <w:szCs w:val="24"/>
        </w:rPr>
        <w:t xml:space="preserve"> При вынесении решения о сумме </w:t>
      </w:r>
      <w:r>
        <w:rPr>
          <w:rFonts w:ascii="Calibri" w:eastAsia="Times New Roman" w:hAnsi="Calibri" w:cs="Times New Roman"/>
          <w:sz w:val="24"/>
          <w:szCs w:val="24"/>
        </w:rPr>
        <w:t xml:space="preserve">фактически взыскиваемых </w:t>
      </w:r>
      <w:proofErr w:type="spellStart"/>
      <w:r>
        <w:rPr>
          <w:rFonts w:ascii="Calibri" w:eastAsia="Times New Roman" w:hAnsi="Calibri" w:cs="Times New Roman"/>
          <w:sz w:val="24"/>
          <w:szCs w:val="24"/>
        </w:rPr>
        <w:t>УПИвС</w:t>
      </w:r>
      <w:proofErr w:type="spellEnd"/>
      <w:r>
        <w:rPr>
          <w:rFonts w:ascii="Calibri" w:eastAsia="Times New Roman" w:hAnsi="Calibri" w:cs="Times New Roman"/>
          <w:sz w:val="24"/>
          <w:szCs w:val="24"/>
        </w:rPr>
        <w:t xml:space="preserve"> суды исходят из того, что «расходы на оплату услуг представителя, понесенные лицом, в пользу которого принят судебный акт, взыскиваются судом с другого лица, участвующего в деле, </w:t>
      </w:r>
      <w:r>
        <w:rPr>
          <w:rFonts w:ascii="Calibri" w:eastAsia="Times New Roman" w:hAnsi="Calibri" w:cs="Times New Roman"/>
          <w:b/>
          <w:sz w:val="24"/>
          <w:szCs w:val="24"/>
        </w:rPr>
        <w:t>в разумных пределах</w:t>
      </w:r>
      <w:r>
        <w:rPr>
          <w:rFonts w:ascii="Calibri" w:eastAsia="Times New Roman" w:hAnsi="Calibri" w:cs="Times New Roman"/>
          <w:sz w:val="24"/>
          <w:szCs w:val="24"/>
        </w:rPr>
        <w:t>» (часть 1 статьи 100 ГПК РФ, статья 112 КАС РФ, часть 2 статьи 110 АПК РФ).</w:t>
      </w:r>
    </w:p>
    <w:p w:rsidR="00441D0B" w:rsidRDefault="00091BCB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Постановлением Пленума Верховного Суда РФ от 21.01.2016 № 1 «О некоторых вопросах применения законодательства о возмещении издержек, связанных с рассмотрением дела» установлено, что «Разумными считаются такие расходы на представителя, которые </w:t>
      </w:r>
      <w:r>
        <w:rPr>
          <w:rFonts w:cs="Times New Roman"/>
          <w:b/>
          <w:sz w:val="24"/>
          <w:szCs w:val="24"/>
        </w:rPr>
        <w:t>обычно взимаются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за аналогичные услуги при сравнимых обстоятельствах»</w:t>
      </w:r>
      <w:r>
        <w:rPr>
          <w:rFonts w:cs="Times New Roman"/>
          <w:sz w:val="24"/>
          <w:szCs w:val="24"/>
        </w:rPr>
        <w:t>.</w:t>
      </w:r>
    </w:p>
    <w:p w:rsidR="00441D0B" w:rsidRDefault="00091BCB">
      <w:pPr>
        <w:spacing w:after="0" w:line="240" w:lineRule="auto"/>
        <w:ind w:firstLine="709"/>
        <w:jc w:val="both"/>
        <w:rPr>
          <w:rFonts w:cs="Times New Roman"/>
          <w:color w:val="333333"/>
          <w:sz w:val="24"/>
          <w:szCs w:val="24"/>
        </w:rPr>
      </w:pPr>
      <w:r>
        <w:rPr>
          <w:rFonts w:cs="Times New Roman"/>
          <w:color w:val="333333"/>
          <w:sz w:val="24"/>
          <w:szCs w:val="24"/>
        </w:rPr>
        <w:t xml:space="preserve">Согласно сложившейся практике арбитражных судов Российской Федерации при определении разумных пределов расходов на оплату услуг представителя принимаются во внимание: …; </w:t>
      </w:r>
      <w:r>
        <w:rPr>
          <w:rFonts w:cs="Times New Roman"/>
          <w:b/>
          <w:color w:val="333333"/>
          <w:sz w:val="24"/>
          <w:szCs w:val="24"/>
        </w:rPr>
        <w:t>сложившаяся в данном регионе</w:t>
      </w:r>
      <w:r>
        <w:rPr>
          <w:rFonts w:cs="Times New Roman"/>
          <w:color w:val="333333"/>
          <w:sz w:val="24"/>
          <w:szCs w:val="24"/>
        </w:rPr>
        <w:t xml:space="preserve"> </w:t>
      </w:r>
      <w:r>
        <w:rPr>
          <w:rFonts w:cs="Times New Roman"/>
          <w:b/>
          <w:color w:val="333333"/>
          <w:sz w:val="24"/>
          <w:szCs w:val="24"/>
        </w:rPr>
        <w:t>стоимость на сходные услуги</w:t>
      </w:r>
      <w:r>
        <w:rPr>
          <w:rFonts w:cs="Times New Roman"/>
          <w:color w:val="333333"/>
          <w:sz w:val="24"/>
          <w:szCs w:val="24"/>
        </w:rPr>
        <w:t xml:space="preserve"> с учетом квалификации лиц, оказывающих услуги; ….</w:t>
      </w:r>
      <w:r>
        <w:rPr>
          <w:sz w:val="24"/>
          <w:szCs w:val="24"/>
        </w:rPr>
        <w:t xml:space="preserve"> (</w:t>
      </w:r>
      <w:r>
        <w:rPr>
          <w:rFonts w:cs="Times New Roman"/>
          <w:color w:val="333333"/>
          <w:sz w:val="24"/>
          <w:szCs w:val="24"/>
        </w:rPr>
        <w:t>Постановление Президиума ВАС РФ от 07.02.2006 N 12088/05 по делу N А40-52568/04-134-115; Информационное письмо Президиума ВАС РФ от 13.08.2004 N 82 (ред. от 01.07.2014) "О некоторых вопросах применения Арбитражного процессуального кодекса Российской Федерации").</w:t>
      </w:r>
    </w:p>
    <w:p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eastAsia="Times New Roman" w:cs="Times New Roman"/>
          <w:iCs/>
          <w:sz w:val="24"/>
          <w:szCs w:val="24"/>
        </w:rPr>
      </w:pPr>
      <w:r>
        <w:rPr>
          <w:rFonts w:eastAsia="Times New Roman" w:cs="Times New Roman"/>
          <w:b/>
          <w:iCs/>
          <w:sz w:val="24"/>
          <w:szCs w:val="24"/>
        </w:rPr>
        <w:t>2. Определение рыночной стоимости</w:t>
      </w:r>
      <w:r>
        <w:rPr>
          <w:rFonts w:eastAsia="Times New Roman" w:cs="Times New Roman"/>
          <w:iCs/>
          <w:sz w:val="24"/>
          <w:szCs w:val="24"/>
        </w:rPr>
        <w:t xml:space="preserve"> установлено Законом об оценке [1].</w:t>
      </w:r>
    </w:p>
    <w:p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соответствии со ст. 3 Закона об оценке под оценочной деятельностью понимается профессиональная деятельность субъектов оценочной деятельности, </w:t>
      </w:r>
      <w:r>
        <w:rPr>
          <w:rFonts w:eastAsia="Times New Roman" w:cs="Times New Roman"/>
          <w:b/>
          <w:sz w:val="24"/>
          <w:szCs w:val="24"/>
        </w:rPr>
        <w:t>направленная на установление в отношении объектов оценки рыночной</w:t>
      </w:r>
      <w:r>
        <w:rPr>
          <w:rFonts w:eastAsia="Times New Roman" w:cs="Times New Roman"/>
          <w:sz w:val="24"/>
          <w:szCs w:val="24"/>
        </w:rPr>
        <w:t xml:space="preserve">, кадастровой, ликвидационной, инвестиционной или иной предусмотренной федеральными стандартами оценки </w:t>
      </w:r>
      <w:r>
        <w:rPr>
          <w:rFonts w:eastAsia="Times New Roman" w:cs="Times New Roman"/>
          <w:b/>
          <w:sz w:val="24"/>
          <w:szCs w:val="24"/>
        </w:rPr>
        <w:t>стоимости</w:t>
      </w:r>
      <w:r>
        <w:rPr>
          <w:rFonts w:eastAsia="Times New Roman" w:cs="Times New Roman"/>
          <w:sz w:val="24"/>
          <w:szCs w:val="24"/>
        </w:rPr>
        <w:t>.</w:t>
      </w:r>
    </w:p>
    <w:p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В отношении законодательства, регулирующего оценочную деятельность в Российской федерации, в ст. 1 Закона об оценке установлено, что оценочная деятельность осуществляется в соответствии с международными договорами Российской Федерации, настоящим Федеральным законом, </w:t>
      </w:r>
      <w:r>
        <w:rPr>
          <w:rFonts w:eastAsia="Times New Roman" w:cs="Times New Roman"/>
          <w:b/>
          <w:sz w:val="24"/>
          <w:szCs w:val="24"/>
        </w:rPr>
        <w:t>а также другими федеральными законами и иными нормативными правовыми актами Российской Федерации, регулирующими отношения, возникающие при осуществлении оценочной деятельности</w:t>
      </w:r>
      <w:r>
        <w:rPr>
          <w:rFonts w:eastAsia="Times New Roman" w:cs="Times New Roman"/>
          <w:sz w:val="24"/>
          <w:szCs w:val="24"/>
        </w:rPr>
        <w:t>.</w:t>
      </w:r>
    </w:p>
    <w:p w:rsidR="00441D0B" w:rsidRDefault="00091B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Согласно ч. 1 ст. 11 Закона об оценке и</w:t>
      </w:r>
      <w:r>
        <w:rPr>
          <w:rFonts w:cs="Times New Roman"/>
          <w:sz w:val="24"/>
          <w:szCs w:val="24"/>
        </w:rPr>
        <w:t xml:space="preserve">тоговым документом, составленным по результатам определения стоимости объекта оценки независимо от вида определенной стоимости, является </w:t>
      </w:r>
      <w:r>
        <w:rPr>
          <w:rFonts w:cs="Times New Roman"/>
          <w:b/>
          <w:sz w:val="24"/>
          <w:szCs w:val="24"/>
        </w:rPr>
        <w:t>отчет об оценке объекта оценки</w:t>
      </w:r>
      <w:r>
        <w:rPr>
          <w:rFonts w:cs="Times New Roman"/>
          <w:sz w:val="24"/>
          <w:szCs w:val="24"/>
        </w:rPr>
        <w:t>.</w:t>
      </w:r>
    </w:p>
    <w:p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</w:t>
      </w:r>
      <w:r>
        <w:rPr>
          <w:rFonts w:cs="Times New Roman"/>
          <w:sz w:val="24"/>
          <w:szCs w:val="24"/>
        </w:rPr>
        <w:t>Проведение судебной экспертизы регламентируется положениями Закона о государственной судебной экспертной деятельности [2], в соответствии с которым итоговым документом является заключение эксперта.</w:t>
      </w:r>
    </w:p>
    <w:p w:rsidR="00441D0B" w:rsidRDefault="00091B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4.</w:t>
      </w:r>
      <w:r>
        <w:rPr>
          <w:rFonts w:cs="Times New Roman"/>
          <w:sz w:val="24"/>
          <w:szCs w:val="24"/>
        </w:rPr>
        <w:t xml:space="preserve"> Таким образом, при определении рыночной стоимости </w:t>
      </w:r>
      <w:proofErr w:type="spellStart"/>
      <w:r>
        <w:rPr>
          <w:rFonts w:cs="Times New Roman"/>
          <w:sz w:val="24"/>
          <w:szCs w:val="24"/>
        </w:rPr>
        <w:t>УПИвС</w:t>
      </w:r>
      <w:proofErr w:type="spellEnd"/>
      <w:r>
        <w:rPr>
          <w:rFonts w:cs="Times New Roman"/>
          <w:sz w:val="24"/>
          <w:szCs w:val="24"/>
        </w:rPr>
        <w:t xml:space="preserve"> итоговыми документами могут являться: </w:t>
      </w:r>
      <w:r>
        <w:rPr>
          <w:rFonts w:ascii="Calibri" w:eastAsia="Times New Roman" w:hAnsi="Calibri" w:cs="Times New Roman"/>
          <w:sz w:val="24"/>
          <w:szCs w:val="24"/>
        </w:rPr>
        <w:t xml:space="preserve">отчет об оценке, выполненный в рамках Закона об оценке либо </w:t>
      </w:r>
      <w:r>
        <w:rPr>
          <w:rFonts w:cs="Times New Roman"/>
          <w:sz w:val="24"/>
          <w:szCs w:val="24"/>
        </w:rPr>
        <w:t>заключение эксперта, выполненное в рамках Закона о государственной судебной экспертной деятельности.</w:t>
      </w:r>
    </w:p>
    <w:p w:rsidR="00441D0B" w:rsidRDefault="00091B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0" w:name="_Toc517881488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3. Пример задания на оценку</w:t>
      </w:r>
      <w:bookmarkEnd w:id="20"/>
    </w:p>
    <w:p w:rsidR="00441D0B" w:rsidRDefault="00441D0B">
      <w:pPr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62"/>
        <w:gridCol w:w="5765"/>
      </w:tblGrid>
      <w:tr w:rsidR="00441D0B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Показатель</w:t>
            </w:r>
          </w:p>
        </w:tc>
        <w:tc>
          <w:tcPr>
            <w:tcW w:w="5917" w:type="dxa"/>
            <w:shd w:val="clear" w:color="auto" w:fill="F2F2F2" w:themeFill="background1" w:themeFillShade="F2"/>
          </w:tcPr>
          <w:p w:rsidR="00441D0B" w:rsidRDefault="00091BCB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Значение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Объект оценки</w:t>
            </w:r>
          </w:p>
        </w:tc>
        <w:tc>
          <w:tcPr>
            <w:tcW w:w="5917" w:type="dxa"/>
          </w:tcPr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Юридические услуги по представлению интересов АО «</w:t>
            </w:r>
            <w:proofErr w:type="spellStart"/>
            <w:r>
              <w:rPr>
                <w:rFonts w:cs="Arial"/>
              </w:rPr>
              <w:t>ххх</w:t>
            </w:r>
            <w:proofErr w:type="spellEnd"/>
            <w:r>
              <w:rPr>
                <w:rFonts w:cs="Arial"/>
              </w:rPr>
              <w:t xml:space="preserve">» </w:t>
            </w:r>
            <w:r>
              <w:rPr>
                <w:rFonts w:ascii="Calibri" w:eastAsia="Times New Roman" w:hAnsi="Calibri" w:cs="Times New Roman"/>
              </w:rPr>
              <w:t xml:space="preserve">в Арбитражном суде города Москвы по делу </w:t>
            </w:r>
            <w:bookmarkStart w:id="21" w:name="_Hlk517349528"/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  <w:bookmarkEnd w:id="21"/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Объем услуг: </w:t>
            </w:r>
            <w:r>
              <w:rPr>
                <w:rFonts w:ascii="Calibri" w:eastAsia="Times New Roman" w:hAnsi="Calibri" w:cs="Times New Roman"/>
              </w:rPr>
              <w:t>ведение судебного дела №</w:t>
            </w:r>
            <w:proofErr w:type="spellStart"/>
            <w:r>
              <w:rPr>
                <w:rFonts w:ascii="Calibri" w:eastAsia="Times New Roman" w:hAnsi="Calibri" w:cs="Times New Roman"/>
              </w:rPr>
              <w:t>ххх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в Арбитражном суде г. Москвы в рамках суда первой инстанции.</w:t>
            </w:r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Основание для оказания услуг: договор №ХХХ от 30.12.2017.</w:t>
            </w:r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Исполнитель услуг: юридическая фирма ООО «ХХХ» (</w:t>
            </w:r>
            <w:r>
              <w:rPr>
                <w:rFonts w:ascii="Calibri" w:eastAsia="Times New Roman" w:hAnsi="Calibri" w:cs="Times New Roman"/>
              </w:rPr>
              <w:t>ОГРН ХХХ</w:t>
            </w:r>
            <w:r>
              <w:rPr>
                <w:rFonts w:cs="Arial"/>
              </w:rPr>
              <w:t>).</w:t>
            </w:r>
          </w:p>
          <w:p w:rsidR="00441D0B" w:rsidRDefault="00091BC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Услуги оказаны с 30.12.2017 по 30.05.2018.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Права на объект оценки, учитываемые при определении стоимости объекта оценки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  <w:highlight w:val="yellow"/>
              </w:rPr>
              <w:t>Право требовать оказания услуги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Цель оценки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Определение рыночной стоимости объекта оценки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Предполагаемое использование результатов оценки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В рамках судебного дела </w:t>
            </w:r>
            <w:r>
              <w:rPr>
                <w:rFonts w:ascii="Calibri" w:eastAsia="Times New Roman" w:hAnsi="Calibri" w:cs="Times New Roman"/>
              </w:rPr>
              <w:t>№ХХХ</w:t>
            </w:r>
            <w:r>
              <w:rPr>
                <w:rFonts w:cs="Arial"/>
              </w:rPr>
              <w:t>.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Вид стоимости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Рыночная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Дата оценки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30.12.2017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Допущения, на которых должна основываться оценка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Приведены по тексту отчета.</w:t>
            </w:r>
          </w:p>
        </w:tc>
      </w:tr>
      <w:tr w:rsidR="00441D0B">
        <w:trPr>
          <w:jc w:val="center"/>
        </w:trPr>
        <w:tc>
          <w:tcPr>
            <w:tcW w:w="3936" w:type="dxa"/>
          </w:tcPr>
          <w:p w:rsidR="00441D0B" w:rsidRDefault="00091BCB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</w:rPr>
              <w:t>Иная информация, предусмотренная федеральными стандартами оценки</w:t>
            </w:r>
          </w:p>
        </w:tc>
        <w:tc>
          <w:tcPr>
            <w:tcW w:w="5917" w:type="dxa"/>
          </w:tcPr>
          <w:p w:rsidR="00441D0B" w:rsidRDefault="00091BC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Федеральными стандартами оценки не предусмотрено наличие иной информации</w:t>
            </w:r>
          </w:p>
        </w:tc>
      </w:tr>
    </w:tbl>
    <w:p w:rsidR="00441D0B" w:rsidRDefault="00091BCB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:rsidR="00441D0B" w:rsidRDefault="00091BCB">
      <w:pPr>
        <w:pStyle w:val="2"/>
        <w:jc w:val="center"/>
        <w:rPr>
          <w:rFonts w:asciiTheme="minorHAnsi" w:hAnsiTheme="minorHAnsi"/>
          <w:b/>
          <w:color w:val="auto"/>
          <w:sz w:val="28"/>
          <w:szCs w:val="28"/>
        </w:rPr>
      </w:pPr>
      <w:bookmarkStart w:id="22" w:name="_Toc517881489"/>
      <w:r>
        <w:rPr>
          <w:rFonts w:asciiTheme="minorHAnsi" w:hAnsiTheme="minorHAnsi"/>
          <w:b/>
          <w:color w:val="auto"/>
          <w:sz w:val="28"/>
          <w:szCs w:val="28"/>
        </w:rPr>
        <w:lastRenderedPageBreak/>
        <w:t>Приложение 4. Возможные источники информации для анализа рынка</w:t>
      </w:r>
      <w:bookmarkEnd w:id="22"/>
    </w:p>
    <w:p w:rsidR="00441D0B" w:rsidRDefault="00091BCB">
      <w:pPr>
        <w:spacing w:before="100" w:after="0" w:line="276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1. Исследования / обзоры рынка юридических услуг: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VETA </w:t>
      </w:r>
      <w:hyperlink r:id="rId13" w:history="1">
        <w:r>
          <w:rPr>
            <w:rFonts w:eastAsia="Times New Roman" w:cs="Times New Roman"/>
            <w:sz w:val="24"/>
            <w:szCs w:val="24"/>
          </w:rPr>
          <w:t>http://www.legal-research.ru/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eastAsia="Times New Roman" w:cs="Times New Roman"/>
          <w:sz w:val="24"/>
          <w:szCs w:val="24"/>
        </w:rPr>
        <w:t>Праворуб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hyperlink r:id="rId14" w:history="1">
        <w:r>
          <w:rPr>
            <w:rFonts w:eastAsia="Times New Roman" w:cs="Times New Roman"/>
            <w:sz w:val="24"/>
            <w:szCs w:val="24"/>
          </w:rPr>
          <w:t>https://pravorub.ru/users/stat/prices/4312/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hyperlink r:id="rId15" w:history="1">
        <w:r>
          <w:rPr>
            <w:rFonts w:eastAsia="Times New Roman" w:cs="Times New Roman"/>
            <w:sz w:val="24"/>
            <w:szCs w:val="24"/>
          </w:rPr>
          <w:t>http://naidi-jurista.ru/club/blog/News/74.php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</w:t>
      </w:r>
      <w:proofErr w:type="spellStart"/>
      <w:r>
        <w:rPr>
          <w:rFonts w:eastAsia="Times New Roman" w:cs="Times New Roman"/>
          <w:sz w:val="24"/>
          <w:szCs w:val="24"/>
        </w:rPr>
        <w:t>Norton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Caine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hyperlink r:id="rId16" w:history="1">
        <w:r>
          <w:rPr>
            <w:rFonts w:eastAsia="Times New Roman" w:cs="Times New Roman"/>
            <w:sz w:val="24"/>
            <w:szCs w:val="24"/>
          </w:rPr>
          <w:t>http://www.nortoncaine.com/resources/files/associates_survey_2016_.pdf</w:t>
        </w:r>
      </w:hyperlink>
      <w:r>
        <w:rPr>
          <w:rFonts w:eastAsia="Times New Roman" w:cs="Times New Roman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Legal.Report</w:t>
      </w:r>
      <w:proofErr w:type="spellEnd"/>
      <w:r>
        <w:rPr>
          <w:rFonts w:eastAsia="Times New Roman" w:cs="Times New Roman"/>
          <w:sz w:val="24"/>
          <w:szCs w:val="24"/>
        </w:rPr>
        <w:t xml:space="preserve"> раскрывает размер гонораров крупных юридических компаний России </w:t>
      </w:r>
      <w:hyperlink r:id="rId17" w:history="1">
        <w:r>
          <w:rPr>
            <w:rFonts w:eastAsia="Times New Roman" w:cs="Times New Roman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p w:rsidR="00441D0B" w:rsidRDefault="00091BCB">
      <w:pPr>
        <w:spacing w:before="120" w:after="0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 Информация о проведенных тендерах на оказание юридических услуг:</w:t>
      </w:r>
    </w:p>
    <w:p w:rsidR="00441D0B" w:rsidRDefault="00916650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8" w:history="1">
        <w:r w:rsidR="00091BCB">
          <w:rPr>
            <w:rFonts w:eastAsia="Times New Roman" w:cs="Times New Roman"/>
            <w:sz w:val="24"/>
            <w:szCs w:val="24"/>
          </w:rPr>
          <w:t>https://pravo.ru</w:t>
        </w:r>
      </w:hyperlink>
      <w:r w:rsidR="00091BCB">
        <w:rPr>
          <w:rFonts w:eastAsia="Times New Roman" w:cs="Times New Roman"/>
          <w:sz w:val="24"/>
          <w:szCs w:val="24"/>
        </w:rPr>
        <w:t xml:space="preserve"> </w:t>
      </w:r>
    </w:p>
    <w:p w:rsidR="00441D0B" w:rsidRDefault="00916650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eastAsia="Times New Roman" w:cs="Times New Roman"/>
          <w:sz w:val="24"/>
          <w:szCs w:val="24"/>
        </w:rPr>
      </w:pPr>
      <w:hyperlink r:id="rId19" w:history="1">
        <w:r w:rsidR="00091BCB">
          <w:rPr>
            <w:rFonts w:eastAsia="Times New Roman" w:cs="Times New Roman"/>
            <w:sz w:val="24"/>
            <w:szCs w:val="24"/>
          </w:rPr>
          <w:t>http://zakupki.gov.ru</w:t>
        </w:r>
      </w:hyperlink>
    </w:p>
    <w:p w:rsidR="00441D0B" w:rsidRDefault="00091BCB">
      <w:pPr>
        <w:spacing w:before="120" w:after="0" w:line="276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3. Прочие источники:</w:t>
      </w:r>
    </w:p>
    <w:p w:rsidR="00441D0B" w:rsidRDefault="00091BCB">
      <w:pPr>
        <w:pStyle w:val="a8"/>
        <w:numPr>
          <w:ilvl w:val="0"/>
          <w:numId w:val="16"/>
        </w:numPr>
        <w:spacing w:after="0" w:line="276" w:lineRule="auto"/>
        <w:ind w:left="1423" w:hanging="357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Рынок юридических услуг в России: что говорит статистика (Серия «Аналитические обзоры по проблемам правоприменения»). Авторы: Екатерина Моисеева, Дмитрий </w:t>
      </w:r>
      <w:proofErr w:type="spellStart"/>
      <w:r>
        <w:rPr>
          <w:rFonts w:cs="Arial"/>
          <w:sz w:val="24"/>
          <w:szCs w:val="24"/>
        </w:rPr>
        <w:t>Скугаревский</w:t>
      </w:r>
      <w:proofErr w:type="spellEnd"/>
      <w:r>
        <w:rPr>
          <w:rFonts w:cs="Arial"/>
          <w:sz w:val="24"/>
          <w:szCs w:val="24"/>
        </w:rPr>
        <w:t xml:space="preserve">. СПб: ИПП ЕУСПб, 2016. — 28 стр. Отчет подготовлен с использованием базы данных </w:t>
      </w:r>
      <w:proofErr w:type="spellStart"/>
      <w:r>
        <w:rPr>
          <w:rFonts w:cs="Arial"/>
          <w:sz w:val="24"/>
          <w:szCs w:val="24"/>
        </w:rPr>
        <w:t>Ruslana</w:t>
      </w:r>
      <w:proofErr w:type="spellEnd"/>
      <w:r>
        <w:rPr>
          <w:rFonts w:cs="Arial"/>
          <w:sz w:val="24"/>
          <w:szCs w:val="24"/>
        </w:rPr>
        <w:t xml:space="preserve">, в которой содержится информация по всем юридическим лицам России, Украины и Казахстана. Информация собирается компанией </w:t>
      </w:r>
      <w:proofErr w:type="spellStart"/>
      <w:r>
        <w:rPr>
          <w:rFonts w:cs="Arial"/>
          <w:sz w:val="24"/>
          <w:szCs w:val="24"/>
        </w:rPr>
        <w:t>Bureau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van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Dijk</w:t>
      </w:r>
      <w:proofErr w:type="spellEnd"/>
      <w:r>
        <w:rPr>
          <w:rFonts w:cs="Arial"/>
          <w:sz w:val="24"/>
          <w:szCs w:val="24"/>
        </w:rPr>
        <w:t xml:space="preserve"> (</w:t>
      </w:r>
      <w:proofErr w:type="spellStart"/>
      <w:r>
        <w:rPr>
          <w:rFonts w:cs="Arial"/>
          <w:sz w:val="24"/>
          <w:szCs w:val="24"/>
        </w:rPr>
        <w:t>BvD</w:t>
      </w:r>
      <w:proofErr w:type="spellEnd"/>
      <w:r>
        <w:rPr>
          <w:rFonts w:cs="Arial"/>
          <w:sz w:val="24"/>
          <w:szCs w:val="24"/>
        </w:rPr>
        <w:t xml:space="preserve">), специализирующейся на составлении финансовых баз данных и бизнес-аналитике. </w:t>
      </w:r>
      <w:hyperlink r:id="rId20" w:history="1">
        <w:r>
          <w:rPr>
            <w:rStyle w:val="a7"/>
            <w:rFonts w:cs="Arial"/>
            <w:sz w:val="24"/>
            <w:szCs w:val="24"/>
          </w:rPr>
          <w:t>http://www.enforce.spb.ru/images/lawfirms_report_e_version.pdf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Ежегодное исследование стоимости услуг по представлению интересов в судах, проводимое экспертной группой </w:t>
      </w:r>
      <w:r>
        <w:rPr>
          <w:rFonts w:cs="Arial"/>
          <w:sz w:val="24"/>
          <w:szCs w:val="24"/>
          <w:lang w:val="en-US"/>
        </w:rPr>
        <w:t>VETA</w:t>
      </w:r>
      <w:r>
        <w:rPr>
          <w:rFonts w:cs="Arial"/>
          <w:sz w:val="24"/>
          <w:szCs w:val="24"/>
        </w:rPr>
        <w:t xml:space="preserve"> </w:t>
      </w:r>
      <w:hyperlink r:id="rId21" w:history="1">
        <w:r>
          <w:rPr>
            <w:rStyle w:val="a7"/>
            <w:rFonts w:cs="Arial"/>
            <w:sz w:val="24"/>
            <w:szCs w:val="24"/>
          </w:rPr>
          <w:t>http://www.legal-research.ru/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"Право.ru-300": Юридический рынок в 2015 году </w:t>
      </w:r>
      <w:hyperlink r:id="rId22" w:history="1">
        <w:r>
          <w:rPr>
            <w:rStyle w:val="a7"/>
            <w:rFonts w:cs="Arial"/>
            <w:sz w:val="24"/>
            <w:szCs w:val="24"/>
          </w:rPr>
          <w:t>https://pravo.ru/review/view/123833/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Зарплата-2017: сколько стоят юристы </w:t>
      </w:r>
      <w:hyperlink r:id="rId23" w:history="1">
        <w:r>
          <w:rPr>
            <w:rStyle w:val="a7"/>
            <w:rFonts w:cs="Arial"/>
            <w:sz w:val="24"/>
            <w:szCs w:val="24"/>
          </w:rPr>
          <w:t>https://pravo.ru/story/view/144879/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"Право.ru" представляет исследование рынка </w:t>
      </w:r>
      <w:proofErr w:type="spellStart"/>
      <w:r>
        <w:rPr>
          <w:rFonts w:cs="Arial"/>
          <w:sz w:val="24"/>
          <w:szCs w:val="24"/>
        </w:rPr>
        <w:t>литигаторов</w:t>
      </w:r>
      <w:proofErr w:type="spellEnd"/>
      <w:r>
        <w:rPr>
          <w:rFonts w:cs="Arial"/>
          <w:sz w:val="24"/>
          <w:szCs w:val="24"/>
        </w:rPr>
        <w:t xml:space="preserve"> </w:t>
      </w:r>
      <w:hyperlink r:id="rId24" w:history="1">
        <w:r>
          <w:rPr>
            <w:rStyle w:val="a7"/>
            <w:rFonts w:cs="Arial"/>
            <w:sz w:val="24"/>
            <w:szCs w:val="24"/>
          </w:rPr>
          <w:t>https://pravo.ru/story/view/142721/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Средняя стоимость услуг Юристов и Адвокатов в РФ по данным сайта </w:t>
      </w:r>
      <w:proofErr w:type="spellStart"/>
      <w:r>
        <w:rPr>
          <w:rFonts w:cs="Arial"/>
          <w:sz w:val="24"/>
          <w:szCs w:val="24"/>
        </w:rPr>
        <w:t>Праворуб</w:t>
      </w:r>
      <w:proofErr w:type="spellEnd"/>
      <w:r>
        <w:rPr>
          <w:rFonts w:cs="Arial"/>
          <w:sz w:val="24"/>
          <w:szCs w:val="24"/>
        </w:rPr>
        <w:t xml:space="preserve"> </w:t>
      </w:r>
      <w:hyperlink r:id="rId25" w:history="1">
        <w:r>
          <w:rPr>
            <w:rStyle w:val="a7"/>
            <w:rFonts w:cs="Arial"/>
            <w:sz w:val="24"/>
            <w:szCs w:val="24"/>
          </w:rPr>
          <w:t>https://pravorub.ru/users/stat/prices/4312/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Обзор цен на юридические услуги по абонентскому обслуживанию бизнеса на портале «НАЙДИ-ЮРИСТА» </w:t>
      </w:r>
      <w:hyperlink r:id="rId26" w:history="1">
        <w:r>
          <w:rPr>
            <w:rStyle w:val="a7"/>
            <w:rFonts w:cs="Arial"/>
            <w:sz w:val="24"/>
            <w:szCs w:val="24"/>
          </w:rPr>
          <w:t>http://naidi-jurista.ru/club/blog/News/74.php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200" w:line="276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Обзор оплат корпоративных юристов и юристов международных и национальных юридических фирм в Москве в 2016, подготовленный Компанией </w:t>
      </w:r>
      <w:proofErr w:type="spellStart"/>
      <w:r>
        <w:rPr>
          <w:rFonts w:cs="Arial"/>
          <w:sz w:val="24"/>
          <w:szCs w:val="24"/>
        </w:rPr>
        <w:lastRenderedPageBreak/>
        <w:t>Norton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Caine</w:t>
      </w:r>
      <w:proofErr w:type="spellEnd"/>
      <w:r>
        <w:rPr>
          <w:rFonts w:cs="Arial"/>
          <w:sz w:val="24"/>
          <w:szCs w:val="24"/>
        </w:rPr>
        <w:t xml:space="preserve"> </w:t>
      </w:r>
      <w:hyperlink r:id="rId27" w:history="1">
        <w:r>
          <w:rPr>
            <w:rStyle w:val="a7"/>
            <w:rFonts w:cs="Arial"/>
            <w:sz w:val="24"/>
            <w:szCs w:val="24"/>
          </w:rPr>
          <w:t>http://www.nortoncaine.com/resources/files/associates_survey_2016_.pdf</w:t>
        </w:r>
      </w:hyperlink>
      <w:r>
        <w:rPr>
          <w:rFonts w:cs="Arial"/>
          <w:sz w:val="24"/>
          <w:szCs w:val="24"/>
        </w:rPr>
        <w:t xml:space="preserve"> </w:t>
      </w:r>
    </w:p>
    <w:p w:rsidR="00441D0B" w:rsidRDefault="00091BCB">
      <w:pPr>
        <w:pStyle w:val="a8"/>
        <w:numPr>
          <w:ilvl w:val="0"/>
          <w:numId w:val="16"/>
        </w:numPr>
        <w:spacing w:before="100" w:after="0" w:line="276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r>
        <w:rPr>
          <w:rFonts w:cs="Arial"/>
          <w:sz w:val="24"/>
          <w:szCs w:val="24"/>
        </w:rPr>
        <w:t>Legal.Report</w:t>
      </w:r>
      <w:proofErr w:type="spellEnd"/>
      <w:r>
        <w:rPr>
          <w:rFonts w:cs="Arial"/>
          <w:sz w:val="24"/>
          <w:szCs w:val="24"/>
        </w:rPr>
        <w:t xml:space="preserve"> раскрывает размер гонораров крупных юридических компаний России </w:t>
      </w:r>
      <w:hyperlink r:id="rId28" w:history="1">
        <w:r>
          <w:rPr>
            <w:rStyle w:val="a7"/>
            <w:rFonts w:cs="Arial"/>
            <w:sz w:val="24"/>
            <w:szCs w:val="24"/>
          </w:rPr>
          <w:t>https://legal.report/article/24102016/legal.report-vpervye-raskryvaet-razmer-gonorarov-krupnyh-yuridicheskih-kompanij-rossii</w:t>
        </w:r>
      </w:hyperlink>
    </w:p>
    <w:sectPr w:rsidR="00441D0B">
      <w:footerReference w:type="default" r:id="rId2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B78" w:rsidRDefault="00F76B78">
      <w:pPr>
        <w:spacing w:after="0" w:line="240" w:lineRule="auto"/>
      </w:pPr>
      <w:r>
        <w:separator/>
      </w:r>
    </w:p>
  </w:endnote>
  <w:endnote w:type="continuationSeparator" w:id="0">
    <w:p w:rsidR="00F76B78" w:rsidRDefault="00F7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464083"/>
      <w:docPartObj>
        <w:docPartGallery w:val="Page Numbers (Bottom of Page)"/>
        <w:docPartUnique/>
      </w:docPartObj>
    </w:sdtPr>
    <w:sdtEndPr/>
    <w:sdtContent>
      <w:p w:rsidR="00626234" w:rsidRDefault="00626234">
        <w:pPr>
          <w:pStyle w:val="af4"/>
          <w:pBdr>
            <w:top w:val="single" w:sz="4" w:space="1" w:color="auto"/>
          </w:pBdr>
          <w:jc w:val="right"/>
        </w:pPr>
        <w:r>
          <w:rPr>
            <w:sz w:val="20"/>
            <w:szCs w:val="20"/>
          </w:rPr>
          <w:t>проект для обсуждения от 03.07.2018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B78" w:rsidRDefault="00F76B78">
      <w:pPr>
        <w:spacing w:after="0" w:line="240" w:lineRule="auto"/>
      </w:pPr>
      <w:r>
        <w:separator/>
      </w:r>
    </w:p>
  </w:footnote>
  <w:footnote w:type="continuationSeparator" w:id="0">
    <w:p w:rsidR="00F76B78" w:rsidRDefault="00F76B78">
      <w:pPr>
        <w:spacing w:after="0" w:line="240" w:lineRule="auto"/>
      </w:pPr>
      <w:r>
        <w:continuationSeparator/>
      </w:r>
    </w:p>
  </w:footnote>
  <w:footnote w:id="1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то, что рекомендуется указывать задании на оценку, в основных фактах и выводах отчета об оценке.</w:t>
      </w:r>
    </w:p>
  </w:footnote>
  <w:footnote w:id="2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http://www.gks.ru/wps/wcm/connect/rosstat_main/rosstat/ru/statistics/finance/#</w:t>
      </w:r>
    </w:p>
  </w:footnote>
  <w:footnote w:id="3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например, исследования </w:t>
      </w:r>
      <w:r>
        <w:rPr>
          <w:lang w:val="en-US"/>
        </w:rPr>
        <w:t>Legal</w:t>
      </w:r>
      <w:r>
        <w:t xml:space="preserve"> </w:t>
      </w:r>
      <w:r>
        <w:rPr>
          <w:lang w:val="en-US"/>
        </w:rPr>
        <w:t>Insight</w:t>
      </w:r>
    </w:p>
  </w:footnote>
  <w:footnote w:id="4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</w:t>
      </w:r>
      <w:hyperlink r:id="rId1" w:history="1">
        <w:r>
          <w:rPr>
            <w:rStyle w:val="a7"/>
            <w:rFonts w:cs="Arial"/>
          </w:rPr>
          <w:t>https://pravo.ru/story/200608/</w:t>
        </w:r>
      </w:hyperlink>
    </w:p>
  </w:footnote>
  <w:footnote w:id="5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cs="Arial"/>
        </w:rPr>
        <w:t xml:space="preserve">Ежегодное исследование стоимости услуг по представлению интересов в судах Москвы и Московской области в 2017 году – </w:t>
      </w:r>
      <w:hyperlink r:id="rId2" w:history="1">
        <w:r>
          <w:rPr>
            <w:rStyle w:val="a7"/>
            <w:rFonts w:cs="Arial"/>
          </w:rPr>
          <w:t>https://www.veta.expert/upload/Legal_research_Moscow_2017.pdf</w:t>
        </w:r>
      </w:hyperlink>
    </w:p>
  </w:footnote>
  <w:footnote w:id="6">
    <w:p w:rsidR="00626234" w:rsidRDefault="00626234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Style w:val="a7"/>
          <w:rFonts w:cs="Arial"/>
        </w:rPr>
        <w:t>https://casebook.ru/File/PdfDocument/b4f602a2-8e3e-4f7b-afdd-daa2d3411c40/A40-171885-2014_20180322_Postanovlenie_apelljacionnoj_instancii.pdf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B11CE"/>
    <w:multiLevelType w:val="hybridMultilevel"/>
    <w:tmpl w:val="74461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234C5"/>
    <w:multiLevelType w:val="hybridMultilevel"/>
    <w:tmpl w:val="56F6A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EC9"/>
    <w:multiLevelType w:val="hybridMultilevel"/>
    <w:tmpl w:val="E276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7169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11176"/>
    <w:multiLevelType w:val="hybridMultilevel"/>
    <w:tmpl w:val="366E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46BB0"/>
    <w:multiLevelType w:val="hybridMultilevel"/>
    <w:tmpl w:val="B376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E15C9"/>
    <w:multiLevelType w:val="hybridMultilevel"/>
    <w:tmpl w:val="02C229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1E327F8"/>
    <w:multiLevelType w:val="hybridMultilevel"/>
    <w:tmpl w:val="0BA2CA2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D1332B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91752"/>
    <w:multiLevelType w:val="hybridMultilevel"/>
    <w:tmpl w:val="9EC8F3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5404AA"/>
    <w:multiLevelType w:val="hybridMultilevel"/>
    <w:tmpl w:val="44D86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8572F08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479"/>
    <w:multiLevelType w:val="hybridMultilevel"/>
    <w:tmpl w:val="4B789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32A1"/>
    <w:multiLevelType w:val="hybridMultilevel"/>
    <w:tmpl w:val="0644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1608C"/>
    <w:multiLevelType w:val="hybridMultilevel"/>
    <w:tmpl w:val="2FAAD5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86265"/>
    <w:multiLevelType w:val="hybridMultilevel"/>
    <w:tmpl w:val="F5846E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CB7E6A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321A0"/>
    <w:multiLevelType w:val="hybridMultilevel"/>
    <w:tmpl w:val="782A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E1336"/>
    <w:multiLevelType w:val="hybridMultilevel"/>
    <w:tmpl w:val="B860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916D1"/>
    <w:multiLevelType w:val="hybridMultilevel"/>
    <w:tmpl w:val="04F0BDC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590C6091"/>
    <w:multiLevelType w:val="hybridMultilevel"/>
    <w:tmpl w:val="EA92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68098F"/>
    <w:multiLevelType w:val="hybridMultilevel"/>
    <w:tmpl w:val="C7BC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7506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28063A"/>
    <w:multiLevelType w:val="hybridMultilevel"/>
    <w:tmpl w:val="04BE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3B1B70"/>
    <w:multiLevelType w:val="multilevel"/>
    <w:tmpl w:val="AD50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AF21846"/>
    <w:multiLevelType w:val="hybridMultilevel"/>
    <w:tmpl w:val="DA7EB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8B3F43"/>
    <w:multiLevelType w:val="hybridMultilevel"/>
    <w:tmpl w:val="57302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2382B05"/>
    <w:multiLevelType w:val="hybridMultilevel"/>
    <w:tmpl w:val="205A5D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41B78BE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852AF"/>
    <w:multiLevelType w:val="hybridMultilevel"/>
    <w:tmpl w:val="51F81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B3E98"/>
    <w:multiLevelType w:val="hybridMultilevel"/>
    <w:tmpl w:val="3C3A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543FD"/>
    <w:multiLevelType w:val="hybridMultilevel"/>
    <w:tmpl w:val="1062D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3999"/>
    <w:multiLevelType w:val="hybridMultilevel"/>
    <w:tmpl w:val="E3B6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"/>
  </w:num>
  <w:num w:numId="3">
    <w:abstractNumId w:val="15"/>
  </w:num>
  <w:num w:numId="4">
    <w:abstractNumId w:val="25"/>
  </w:num>
  <w:num w:numId="5">
    <w:abstractNumId w:val="19"/>
  </w:num>
  <w:num w:numId="6">
    <w:abstractNumId w:val="7"/>
  </w:num>
  <w:num w:numId="7">
    <w:abstractNumId w:val="9"/>
  </w:num>
  <w:num w:numId="8">
    <w:abstractNumId w:val="5"/>
  </w:num>
  <w:num w:numId="9">
    <w:abstractNumId w:val="30"/>
  </w:num>
  <w:num w:numId="10">
    <w:abstractNumId w:val="11"/>
  </w:num>
  <w:num w:numId="11">
    <w:abstractNumId w:val="13"/>
  </w:num>
  <w:num w:numId="12">
    <w:abstractNumId w:val="21"/>
  </w:num>
  <w:num w:numId="13">
    <w:abstractNumId w:val="23"/>
  </w:num>
  <w:num w:numId="14">
    <w:abstractNumId w:val="2"/>
  </w:num>
  <w:num w:numId="15">
    <w:abstractNumId w:val="32"/>
  </w:num>
  <w:num w:numId="16">
    <w:abstractNumId w:val="10"/>
  </w:num>
  <w:num w:numId="17">
    <w:abstractNumId w:val="26"/>
  </w:num>
  <w:num w:numId="18">
    <w:abstractNumId w:val="31"/>
  </w:num>
  <w:num w:numId="19">
    <w:abstractNumId w:val="14"/>
  </w:num>
  <w:num w:numId="20">
    <w:abstractNumId w:val="17"/>
  </w:num>
  <w:num w:numId="21">
    <w:abstractNumId w:val="0"/>
  </w:num>
  <w:num w:numId="22">
    <w:abstractNumId w:val="28"/>
  </w:num>
  <w:num w:numId="23">
    <w:abstractNumId w:val="8"/>
  </w:num>
  <w:num w:numId="24">
    <w:abstractNumId w:val="3"/>
  </w:num>
  <w:num w:numId="25">
    <w:abstractNumId w:val="16"/>
  </w:num>
  <w:num w:numId="26">
    <w:abstractNumId w:val="22"/>
  </w:num>
  <w:num w:numId="27">
    <w:abstractNumId w:val="29"/>
  </w:num>
  <w:num w:numId="28">
    <w:abstractNumId w:val="6"/>
  </w:num>
  <w:num w:numId="29">
    <w:abstractNumId w:val="12"/>
  </w:num>
  <w:num w:numId="30">
    <w:abstractNumId w:val="18"/>
  </w:num>
  <w:num w:numId="31">
    <w:abstractNumId w:val="20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0B"/>
    <w:rsid w:val="00080E1C"/>
    <w:rsid w:val="00091BCB"/>
    <w:rsid w:val="00245044"/>
    <w:rsid w:val="00441D0B"/>
    <w:rsid w:val="00626234"/>
    <w:rsid w:val="00916650"/>
    <w:rsid w:val="00CC2390"/>
    <w:rsid w:val="00D336DC"/>
    <w:rsid w:val="00F65C5D"/>
    <w:rsid w:val="00F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6142"/>
  <w15:docId w15:val="{B1DF1C61-3776-462A-8B49-6E7D8145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unhideWhenUsed/>
    <w:qFormat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pPr>
      <w:spacing w:after="100"/>
    </w:p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pPr>
      <w:spacing w:before="100" w:after="200" w:line="240" w:lineRule="auto"/>
    </w:pPr>
    <w:rPr>
      <w:rFonts w:eastAsiaTheme="minorEastAsia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Pr>
      <w:rFonts w:eastAsiaTheme="minorEastAsia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Pr>
      <w:rFonts w:ascii="Segoe UI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table" w:customStyle="1" w:styleId="-451">
    <w:name w:val="Таблица-сетка 4 — акцент 51"/>
    <w:basedOn w:val="a1"/>
    <w:uiPriority w:val="49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21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pPr>
      <w:spacing w:after="100"/>
      <w:ind w:left="440"/>
    </w:p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6">
    <w:name w:val="Placeholder Text"/>
    <w:basedOn w:val="a0"/>
    <w:uiPriority w:val="99"/>
    <w:semiHidden/>
    <w:rPr>
      <w:color w:val="808080"/>
    </w:rPr>
  </w:style>
  <w:style w:type="paragraph" w:styleId="af7">
    <w:name w:val="annotation subject"/>
    <w:basedOn w:val="aa"/>
    <w:next w:val="aa"/>
    <w:link w:val="af8"/>
    <w:uiPriority w:val="99"/>
    <w:semiHidden/>
    <w:unhideWhenUsed/>
    <w:pPr>
      <w:spacing w:before="0" w:after="160"/>
    </w:pPr>
    <w:rPr>
      <w:rFonts w:eastAsiaTheme="minorHAnsi"/>
      <w:b/>
      <w:bCs/>
    </w:rPr>
  </w:style>
  <w:style w:type="character" w:customStyle="1" w:styleId="af8">
    <w:name w:val="Тема примечания Знак"/>
    <w:basedOn w:val="ab"/>
    <w:link w:val="af7"/>
    <w:uiPriority w:val="99"/>
    <w:semiHidden/>
    <w:rPr>
      <w:rFonts w:eastAsiaTheme="minorEastAsia"/>
      <w:b/>
      <w:bCs/>
      <w:sz w:val="20"/>
      <w:szCs w:val="20"/>
    </w:rPr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6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legal-research.ru/" TargetMode="External"/><Relationship Id="rId18" Type="http://schemas.openxmlformats.org/officeDocument/2006/relationships/hyperlink" Target="https://pravo.ru" TargetMode="External"/><Relationship Id="rId26" Type="http://schemas.openxmlformats.org/officeDocument/2006/relationships/hyperlink" Target="http://naidi-jurista.ru/club/blog/News/74.php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gal-research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hyperlink" Target="https://legal.report/article/24102016/legal.report-vpervye-raskryvaet-razmer-gonorarov-krupnyh-yuridicheskih-kompanij-rossii" TargetMode="External"/><Relationship Id="rId25" Type="http://schemas.openxmlformats.org/officeDocument/2006/relationships/hyperlink" Target="https://pravorub.ru/users/stat/prices/431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rtoncaine.com/resources/files/associates_survey_2016_.pdf" TargetMode="External"/><Relationship Id="rId20" Type="http://schemas.openxmlformats.org/officeDocument/2006/relationships/hyperlink" Target="http://www.enforce.spb.ru/images/lawfirms_report_e_version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hyperlink" Target="https://pravo.ru/story/view/14272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idi-jurista.ru/club/blog/News/74.php" TargetMode="External"/><Relationship Id="rId23" Type="http://schemas.openxmlformats.org/officeDocument/2006/relationships/hyperlink" Target="https://pravo.ru/story/view/144879/" TargetMode="External"/><Relationship Id="rId28" Type="http://schemas.openxmlformats.org/officeDocument/2006/relationships/hyperlink" Target="https://legal.report/article/24102016/legal.report-vpervye-raskryvaet-razmer-gonorarov-krupnyh-yuridicheskih-kompanij-rossii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zakupki.gov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avorub.ru/users/stat/prices/4312/" TargetMode="External"/><Relationship Id="rId22" Type="http://schemas.openxmlformats.org/officeDocument/2006/relationships/hyperlink" Target="https://pravo.ru/review/view/123833/" TargetMode="External"/><Relationship Id="rId27" Type="http://schemas.openxmlformats.org/officeDocument/2006/relationships/hyperlink" Target="http://www.nortoncaine.com/resources/files/associates_survey_2016_.pdf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eta.expert/upload/Legal_research_Moscow_2017.pdf" TargetMode="External"/><Relationship Id="rId1" Type="http://schemas.openxmlformats.org/officeDocument/2006/relationships/hyperlink" Target="https://pravo.ru/story/2006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655CA-BD42-445A-BE87-BE3ECDD53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5997</Words>
  <Characters>34185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 Ильин</dc:creator>
  <cp:lastModifiedBy>Арина Потоцкая</cp:lastModifiedBy>
  <cp:revision>2</cp:revision>
  <cp:lastPrinted>2018-07-03T12:00:00Z</cp:lastPrinted>
  <dcterms:created xsi:type="dcterms:W3CDTF">2018-09-04T11:04:00Z</dcterms:created>
  <dcterms:modified xsi:type="dcterms:W3CDTF">2018-09-04T11:04:00Z</dcterms:modified>
</cp:coreProperties>
</file>